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E-907/2019 vom 26. April 2019</w:t>
      </w:r>
    </w:p>
    <w:p>
      <w:r>
        <w:t>Bundesverwaltungsgericht, 2019-04-26, DE</w:t>
      </w:r>
    </w:p>
    <w:p>
      <w:r>
        <w:rPr>
          <w:b/>
        </w:rPr>
        <w:t xml:space="preserve">Quelle: </w:t>
      </w:r>
      <w:r>
        <w:t>https://mcp.opencaselaw.ch/entscheid/bvger_E-907_2019</w:t>
      </w:r>
    </w:p>
    <w:p>
      <w:r>
        <w:t>FR: TAF E-907/2019 du 26 avril 2019</w:t>
      </w:r>
    </w:p>
    <w:p>
      <w:r>
        <w:t>IT: TAF E-907/2019 del 26 aprile 2019</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4.1</w:t>
      </w:r>
    </w:p>
    <w:p>
      <w:r>
        <w:t>In der Beschwerde werden formelle Rügen erhoben, welche vorab zu beurteilen sind, da sie allenfalls geeignet wären, eine Kassation der vorinstanzlichen Verfügung zu bewirken. Der Beschwerdeführer rügt eine Verletzung des rechtlichen Gehörs und der Begründungspflicht.</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4.3</w:t>
      </w:r>
    </w:p>
    <w:p>
      <w:r>
        <w:t>Der Beschwerdeführer rügt eine Verletzung des rechtlichen Gehörs. Die Vorinstanz habe den medizinischen Befund, welcher die Vergewaltigung des Beschwerdeführers belege, nicht berücksichtigt. Weiter sieht der Beschwerdeführer die Begründungspflicht verletzt. Die Vorinstanz habe die Unglaubhaftigkeit der Vergewaltigung teilweise mit haltlosen Vorwürfen begründet. Somit habe die Vorinstanz nicht alle relevanten Beweismittel genügend gewürdigt. Die Vorinstanz hat im Sachverhalt der angefochtenen Verfügung die Berichte des G._______aufgenommen. Sie hielt fest, daraus gehe hervor, dass der Beschwerdeführer wegen seiner Erlebnisse in der Haft Probleme im Darm habe und an einer posttraumatischen Belastungsstörung leide. Die Vorinstanz hat die Berichte somit berücksichtigt, ist jedoch in ihrer Verfügung zum Schluss gelangt, dass die Hauptvorbringen des Beschwerdeführers nicht glaubhaft sind. Das rechtliche Gehör ist somit nicht verletzt. Die Vorinstanz hat in ihrer Begründung nachvollziehbar und differenziert aufgezeigt, von welchen Überlegungen sie sich leiten liess und sich dabei mit den wesentlichen Vorbringen des Beschwerdeführers auseinandergesetzt. Seine Ausführungen zur Vergewaltigung hat sie sehr wohl gewürdigt. Sie stufte seine Vorbringen zur geltend gemachten Verfolgung durch das CID indes als unglaubhaft ein. Dies ist nicht zu beanstanden, zumal die Vorinstanz ihm eine sachgerechte Anfechtung offensichtlich ermöglichte. Alleine der Umstand, dass die Vorinstanz einer anderen Linie folgt, als vom Beschwerdeführer vertreten, und aus sachlichen Gründen auch zu einer anderen Würdigung der Vorbringen gelangt, als vom Beschwerdeführer verlangt, bedeutet noch keine ungenügende Sachverhaltsfeststellung. Der rechtserhebliche Sachverhalt wurde von der Vorinstanz vielmehr richtig und vollständig festgestellt. Soweit sich die Kritik des Beschwerdeführers auf die Beweiswürdigung bezieht, ist in den nachfolgenden Erwägungen darauf einzugehen. Es liegt somit keine Verletzung des rechtlichen Gehörs und der Begründungspflicht vor.</w:t>
      </w:r>
    </w:p>
    <w:p>
      <w:r>
        <w:rPr>
          <w:b/>
        </w:rPr>
        <w:t>E. 4.4</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die Angaben des Beschwerdeführers zu den Drohungen der Beamten anlässlich des zweiten Besuchs der Behörden, zu den Lichtverhältnissen im Haftraum und zu den Personen, welche ihn in der zweitägigen Haft verhört hätten, seien widersprüchlich. Zudem seien seine Vorbringen zum Schicksal der Mithäftlinge seines Bruders, zu den Personen, welche ihn verhaftet hätten, zum Haftraum, zur Zeit in der Haft, zum Verhalten seiner Mutter nach seiner Freilassung und zur Vergewaltigung in wesentlichen Punkten zu wenig konkret und detailliert. Seine Angaben, weshalb sein Bruder nach so vielen Jahren gesucht worden sein soll, zu den Haftbedingungen, zur Rückfahrt von der Haft und zu seiner Abreise nach F._______ seien nicht nachvollziehbar. Insgesamt seien die Vorfluchtgründe des Beschwerdeführers unglaubhaft. Zudem erfülle er keine Risikofaktoren. Die Tatsache, dass sein Bruder vor vielen Jahren Probleme mit den Behörden gehabt habe, stelle für den Beschwerdeführer heute keine Gefährdung dar. Es sei nicht davon auszugehen, dass er wegen der LTTE-Vergangenheit seines Bruders Probleme zu befürchten hätte. Nach Kriegsende habe er noch jahrelang in Sri Lanka gelebt. Aufgrund der Aktenlage sei nicht ersichtlich, weshalb er bei einer Rückkehr nunmehr in den Fokus der Behörden geraten und in asylrelevanter Weise verfolgt werden sollte.</w:t>
      </w:r>
    </w:p>
    <w:p>
      <w:r>
        <w:rPr>
          <w:b/>
        </w:rPr>
        <w:t>E. 6.2</w:t>
      </w:r>
    </w:p>
    <w:p>
      <w:r>
        <w:t>Der Beschwerdeführer bringt vor, die Vorinstanz bewerte seine Beschreibungen als stereotyp, ohne die tatsächlichen Begebenheiten zu berücksichtigen. Sie habe es unterlassen, den medizinischen Befund, welcher die Vergewaltigung beweise, zu berücksichtigen. Die meisten dargelegten Widersprüche würden durch die Logik der Gegebenheiten aufgelöst werden. Vorliegend handle es sich um eine Reflexverfolgung. Die staatlichen Behörden hätten eigentlich seinen Bruder, der für die LTTE Waffendepots betreut habe, verhaften wollen und hätten an dessen Stelle ihn mitgenommen. Durch die Verhöre, Schläge, Vergewaltigung und der Androhung, er müsse innert fünf Tagen nach seiner Freilassung seinen Bruder ausliefern, ansonsten er getötet werde, erfülle die erlebte Verfolgung das geforderte Mass an Intensität, sodass vom Vorliegen eines ernsthaften Nachteils auszugehen sei. Durch die erlebte Verfolgung im Zeitpunkt seiner Flucht könne davon ausgegangen werden, dass ihm auch künftig eine asylrelevante Verfolgung drohe. Die Verfolgung sei gezielt gegen ihn gerichtet und kausal für die Flucht nach F._______ und die Ausreise mittels gefälschtem Pass gewesen. Es seien sämtliche Voraussetzungen der Flüchtlingseigenschaft gegeben, weshalb ihm Asyl zu erteilen sei.</w:t>
      </w:r>
    </w:p>
    <w:p>
      <w:r>
        <w:rPr>
          <w:b/>
        </w:rPr>
        <w:t>E. 7.1</w:t>
      </w:r>
    </w:p>
    <w:p>
      <w:r>
        <w:t>Der Beschwerdeführer macht eine Reflexverfolgung aufgrund der Zugehörigkeit seines Bruders zu den LTTE geltend. Eine Reflexverfolgung liegt vor, wenn sich Verfolgungsmassnahmen neben der primär betroffenen Person auf Familienangehörige und Verwandte erstrecken. Diese ist flüchtlingsrechtlich relevant, wenn die von der Reflexverfolgung betroffene Person ernsthaften Nachteilen im Sinne von Art. 3 Abs. 2 AsylG ausgesetzt war oder solche zu befürchten hat.</w:t>
      </w:r>
    </w:p>
    <w:p>
      <w:r>
        <w:rPr>
          <w:b/>
        </w:rPr>
        <w:t>E. 7.2</w:t>
      </w:r>
    </w:p>
    <w:p>
      <w:r>
        <w:t>Die Vorinstanz geht von der Glaubhaftigkeit der Vorbringen des Beschwerdeführers betreffend die Tätigkeit seines Bruders bei den LTTE im Jahr 2005 und 2006 und die darauffolgende halbjährige "Schutzhaft" durch die UNHCR und das IKRK aus (vgl. Beschwerde Beilagen 2, 3). Die ab dem Jahr 2018 vorgebrachten Vorfälle hält die Vorinstanz zu Recht für unglaubhaft. Nach der Entlassung seines Bruders aus der Haft im Jahr 2007 reiste er nach Malaysia aus. Im Jahr 2011 kehrte er nach Sri Lanka zurück und lebte dort sieben Jahre unbehelligt (act. A22/15 F35, F65). Bei seinen Erklärungen, sein Bruder und dessen Kollegen hätten vom Versteck der Waffen der LTTE gewusst, E._______ habe an Demonstrationen, Anlässen und am Märtyrertag teilgenommen, vielleicht habe die LTTE Informationen bekommen oder sie seien verraten worden, weshalb sein Bruder wieder in den Fokus der Behörden gelangt sei, handelt es sich lediglich um Vermutungen (act. A22/15 F64 ff., act. A26/16 F108). Zudem verstrickt sich der Beschwerdeführer bei diversen Kernvorbringen in Widersprüche. So widerspricht er sich in Bezug auf den Besitz eines sri-lankischen Passes (act. A11/1-7 4.02, act. A22/15 F15, F17 f.). Er widerspricht sich bezüglich der Frage, ob das CID bei den drei Besuchen, als sie seinen Bruder bei ihm zu Hause gesucht hätten, die Familie bedrohte. So erklärte er anlässlich der Erstbefragung zunächst, sie seien nach dem ersten Besuch nochmals gekommen und hätten seine Familie bedroht (act. A22/15 F35). Beim dritten Besuch sei er mitgenommen worden. Später sagte er aus, er sei bei den beiden ersten Besuchen nicht bedroht worden. Erst nachdem er mitgenommen worden sei, sei er bedroht worden (act. A22/15 F108 f.). Es bestehen gravierende und verwirrende Widersprüche in seinen Aussagen zur Anzahl und zu den Zeitpunkten der Verhöre sowie zur Anzahl der ihn verhörenden Personen während der zweitägigen Haft. Er erklärte anlässlich der Erstbefragung und der Anhörung, beim ersten Verhör sei er von zwei Personen verhört worden (act. A22/15 F120, act. A26/16 F49). Bei der Anhörung gab er an anderen Stellen an, das erste Verhör sei nur durch eine Person erfolgt (act. A26/16 F5, F39, F58, F63). In der Anhörung erklärte er, das dritte Verhör habe vor dem sexuellen Missbrauch stattgefunden (act. A26/16 F57). Später sagte er aus, das dritte Verhör habe einen Tag nach dem sexuellen Missbrauch stattgefunden und kurz vor der Freilassung sei er nochmals befragt worden (act. A26/16 F78). Später meinte er, nach dem sexuellen Missbrauch habe es nur noch ein Verhör gegeben, welches kurz vor der Freilassung stattgefunden habe. Dazwischen habe es kein Verhör gegeben (act. A26/16 F59, F78, F83, F85). Widersprüchlich sind auch seine Aussagen zur Organisation des Schleppers. In der Erstbefragung erklärte er, er habe den Schlepper organisiert (act. A22/15 F35). Anlässlich der Anhörung sagte er zunächst aus, seine Mutter habe den Schlepper organisiert (act. A26/16 F4); später meinte er, seine Familie und seine Mutter hätten den Schlepper organisiert (act. A26/16 F6). Seine Erklärungsversuche in der Erstbefragung und der Anhörung, als er mit seinen Widersprüchen konfrontiert wurde, gehen allesamt ins Leere (act. A22/15 F109, act. A26/16 F59, F109). Aus der Beschwerdeschrift ergeben sich neue erhebliche Widersprüche. So erklärt der Beschwerdeführer etwa, er sei gar nicht zu Hause gewesen, als die Beamten seinen Bruder zu Hause gesucht hätten, wovon in der Erstbefragung nicht ansatzweise die Rede war. Es ist auch nicht nachvollziehbar, wie er hätte bedroht werden können, wenn er nicht anwesend war (act. A22/15 F35, F107 ff., Beschwerde II.32). Zudem erklärte er anlässlich der Erstbefragung, das CID habe drei Mal zu Hause nach seinem Bruder gesucht (act. A22/15 F35, F96, F98 f., F107 ff.). In der Beschwerde ist sich der Beschwerdeführer nicht mehr sicher, ob es zwei oder drei Besuche gegeben habe (Beschwerde I.12). Dies ist im Hinblick auf die darauffolgenden einschneidenden Ereignisse - die Festnahme durch zehn bis 15 vermummte Personen (act. A22/15 F101 ff., act. A26/16 F5), die zweitägige Haft (act. A22/15 F35, act. A26/16 F80 f.), die Tritte und Schläge (act. A22/15 F35, F113, act. A26/16 F4, F66, F73, F94) und die Vergewaltigung (act. A22/15 F35, act. A26/16 F6, F62 ff.) - nicht nachvollziehbar. Der Beschwerdeführer hat zur Untermauerung der geltend gemachten Vergewaltigung mehrere Arztberichte des G._______eingereicht (act. A23/3, act. A20/3, act. A19/2). Darin wird dem Beschwerdeführer unter anderem ein sexueller Missbrauch mit Blutung im Analbereich, eine posttraumatische Belastungsstörung und eine mittelgradige depressive Episode diagnostiziert. Eine Vergewaltigung ist eine schwerwiegende Verletzung der Persönlichkeit. Es ist nicht in Abrede zu stellen, dass sexuelle Gewalt in der Vergangenheit durch Militärs oder Polizisten auch gezielt als Folterinstrument bei Verdacht auf Verbindungen zu den LTTE eingesetzt worden ist (vgl. dazu Urteil des BVGer E-6530/2014 vom 29. September 2017 E. 7.3.1 m.w.H.). Die Vorinstanz geht jedoch aufgrund der unglaubhaften Vorbringen des Beschwerdeführers zu Recht davon aus, dass die Vergewaltigung nicht im Zusammenhang mit einer Festnahme und einer Inhaftierung durch den CID stattgefunden hat. Es bestehen somit weder konkrete noch glaubhafte Anhaltspunkte, dass die geltend gemachte Vergewaltigung aus einem asylbeachtlichen Motiv zugefügt wurde. Eine Reflexverfolgung ist somit ebenfalls auszuschliessen. Die Vorinstanz hat zu Recht erwogen, es besteht aufgrund der Angaben des Beschwerdeführers kein begründeter Anlass zur Annahme, dass er bei einer Rückkehr nach Sri Lanka mit beachtlicher Wahrscheinlichkeit oder in absehbarer Zukunft asylrelevanten Verfolgungsmassnahmen ausgesetzt sein wird.</w:t>
      </w:r>
    </w:p>
    <w:p>
      <w:r>
        <w:rPr>
          <w:b/>
        </w:rPr>
        <w:t>E. 8.1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F._______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8.2</w:t>
      </w:r>
    </w:p>
    <w:p>
      <w:r>
        <w:t>Der Beschwerdeführer war nicht Mitglied der LTTE. Sein Bruder war im Jahr 2005 bis 2006 bei den LTTE und wurde entlassen. Dadurch erfüllt der Beschwerdeführer zwar einen stark risikobegründenden Faktor. Der Beschwerdeführer konnte jedoch nicht glaubhaft machen, dass er aufgrund dessen von den Behörden gesucht, festgenommen und inhaftiert wurde. Des Weiteren wurde der Beschwerdeführer weder verhaftet noch einer Straftat angeklagt oder gar verurteilt und verfügt somit auch nicht über einen Strafeintrag. Er ist nicht exilpolitisch tätig. Allein aus der tamilischen Ethnie, den Narben und der nur rund neunmonatigen Landesabwesenheit kann er keine Gefährdung ableiten. Dass er in einer "Stop List" aufgeführt sein soll, ist aufgrund des Gesagten unwahrscheinlich.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 Dies ergibt sich auch nicht aus den auf Beschwerdeebene erwähnten Berichten und Länderinformationen.</w:t>
      </w:r>
    </w:p>
    <w:p>
      <w:r>
        <w:rPr>
          <w:b/>
        </w:rPr>
        <w:t>E. 8.3</w:t>
      </w:r>
    </w:p>
    <w:p>
      <w:r>
        <w:t>Zusammenfassend hat der Beschwerdeführer nichts vorgebracht, was geeignet wäre, seine Flüchtlingseigenschaft nachzuweisen oder zumindest glaubhaft zu machen. Die Vorinstanz hat sein Asylgesuch zu Recht abgelehnt.</w:t>
      </w:r>
    </w:p>
    <w:p>
      <w:r>
        <w:rPr>
          <w:b/>
        </w:rPr>
        <w:t>E. 9</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10.1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10.2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9.1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7 und 8.2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10.3</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10.4</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des BVGer E-1866/2015 E. 13.2). In seinem neusten als Referenzurteil publizierten Entscheid erachtet das Bundesverwaltungsgericht auch den Wegweisungsvollzug ins "Vanni-Gebiet" als zumutbar (vgl. Urteil des BVGer D-3619/2016 vom 16. Oktober 2017 E. 9.5). Vor dem eineinhalbmonatigen Aufenthalt des Beschwerdeführers in F._______ und seiner Ausreise aus Sri Lanka lebte er in B._______, einem Vorort von C._______, Nordprovinz. Er hat die Schule ohne Abschluss bis zum O-Level im Jahr 2011 besucht. Danach hat er als Maler gearbeitet. Es ist anzunehmen, dass er nach seiner Rückkehr diese Tätigkeit wieder aufnehmen kann. Zudem verfügt er mit seiner Mutter, seiner Schwester und seinen Onkeln und Tanten über ein tragfähiges familiäres Beziehungsnetz in Sri Lanka, das in der Lage sein sollte, den Beschwerdeführer bei der Wiedereingliederung zu unterstützen. Gemäss den eingereichten Arztberichten vom 24. Oktober 2018, vom 9. November 2018 und vom 23. November 2018 leidet der Beschwerdeführer an einer mittelgradigen depressiven Episode, einer posttraumatischen Belastungsstörung, einem Vitamin-D-Mangel, einer chronischen Rhinopathie und durch den sexuellen Missbrauch an Blutungen im Analbereich. In der Beschwerde wurde festgehalten, dass die Behandlung beim G._______ abgebrochen wurde. Dem Länderinformationsblatt der International Organization for Migration (IOM) vom Juni 2014 ist zu entnehmen, dass Sri Lanka grosse Fortschritte hinsichtlich der medizinischen Versorgung gemacht hat und die Investitionen ins Gesundheitswesen zugenommen haben. Die IOM führt in ihrem Bericht aus, staatliche Krankenhäuser seien in jeder grösseren Stadt angesiedelt und würden über modernste Geräte verfügen, sodass sie viele Behandlungsmethoden anbieten könnten. Die medizinischen Dienstleistungen seien in der Regel kostenlos. Zusätzlich gebe es sehr viele sehr gut ausgestattete Privatkliniken. Diese seien jedoch in der Regel teuer (International Organization for Migration (IOM), Länderinformationsblatt - Sri Lanka, 06.2014, http://www.bamf.de/SharedDocs/MILo-DB/DE/Rueckkehrfoerderung/Laenderinformationen/Informationsblaetter/cfs_sri-lanka-dl_de.pdf; jsessionid=129A642CCB742AC2E7B0C0A694A8FCFB.1_cid294?__blob=publicationFile &gt;, abgerufen am 28.03.2019). Zudem befinden sich in Sri Lanka 23 Spitäler mit psychiatrischen Abteilungen zur stationären Betreuung und über 300 Kliniken für ambulante Behandlungen psychisch kranker Patienten (Ministry of Health, Nutrition and Indigenous Medicine Sri Lanka, Annual Health Bulletin 2014, published in 2016, &lt; http://www.health.gov. lk/moh_final/english/public/elfinder/files/publictions/AHB/AHB2014. pdf &gt;, abgerufen am 28.03.2019). Der Beschwerdeführer befindet sich momentan wegen seiner gesundheitlichen Probleme nicht mehr in medizinischer Behandlung. Sollte eine solche Behandlung künftig wieder nötig sein, so ist diese auch in Sri Lanka durchführbar. Der Vollzug erweist sich deshalb auch in individueller Hinsicht als zumutbar.</w:t>
      </w:r>
    </w:p>
    <w:p>
      <w:r>
        <w:rPr>
          <w:b/>
        </w:rPr>
        <w:t>E. 10.5</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10.6</w:t>
      </w:r>
    </w:p>
    <w:p>
      <w:r>
        <w:t>Die Vorinstanz hat somit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12.1</w:t>
      </w:r>
    </w:p>
    <w:p>
      <w:r>
        <w:t>Bei diesem Ausgang des Verfahrens wären die Kosten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seine Bedürftigkeit aufgrund der Akten ausgewiesen ist, ist das Gesuch um Gewährung der unentgeltlichen Prozessführung gemäss Art. 65 Abs. 1 VwVG gutzuheissen. Es sind somit keine Verfahrenskosten zu erheben.</w:t>
      </w:r>
    </w:p>
    <w:p>
      <w:r>
        <w:rPr>
          <w:b/>
        </w:rPr>
        <w:t>E. 12.2</w:t>
      </w:r>
    </w:p>
    <w:p>
      <w:r>
        <w:t>Demgemäss ist auch das Gesuch um Beiordnung eines amtlichen Rechtsbeistandes gestützt auf aArt. 110a Abs. 1 AsylG gutzuheissen. In der Honorarnote wird ein zeitlicher Aufwand von 14,5 Stunden à Fr. 150.-, Auslagen von Fr. 131.- (für Übersetzung durch Dolmetscher sowie Portospesen) sowie eine Dossier-Eröffnungspauschale von Fr. 50.- geltend gemacht. Dieser Aufwand erscheint als zu hoch. Es ist insgesamt von 10 Stunden und Auslagen (für Dolmetscher und Porto) von Fr. 131.- auszugehen. Die Dossier-Eröffnungspauschale wird gemäss ständiger gerichtlicher Rechtsprechung nicht ersetzt. Der amtlichen Rechtsbeiständin ist demnach vom Bundesverwaltungsgericht ein Honorar in der Höhe von Fr. 1'631.- (ohne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