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E-904/2024 vom 2. Februar 2024</w:t>
      </w:r>
    </w:p>
    <w:p>
      <w:r>
        <w:t>Bundesverwaltungsgericht, 2024-02-02, DE</w:t>
      </w:r>
    </w:p>
    <w:p>
      <w:r>
        <w:rPr>
          <w:b/>
        </w:rPr>
        <w:t xml:space="preserve">Quelle: </w:t>
      </w:r>
      <w:r>
        <w:t>https://mcp.opencaselaw.ch/entscheid/bvger_E-904_2024_d20240202</w:t>
      </w:r>
    </w:p>
    <w:p>
      <w:r>
        <w:t>FR: TAF E-904/2024 du 2 février 2024</w:t>
      </w:r>
    </w:p>
    <w:p>
      <w:r>
        <w:t>IT: TAF E-904/2024 del 2 febbraio 2024</w:t>
      </w:r>
    </w:p>
    <w:p>
      <w:pPr>
        <w:pStyle w:val="Heading2"/>
      </w:pPr>
      <w:r>
        <w:t>Regeste</w:t>
      </w:r>
    </w:p>
    <w:p>
      <w:r>
        <w:t>Nichteintreten auf Asylgesuch und Wegweisung (Dublin-Verfahren - Art. 31a Abs. 1 Bst. b AsylG) | Nichteintreten auf Asylgesuch und Wegweisung (Dublin-Verfahren); Verfügung des SEM vom 2. Februar 2024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des Reglements vom 21. Februar 2008 über die Kosten und Entschädi- gungen vor dem Bundesverwaltungsgericht [VGKE, SR 173.320.2]) dem Beschwerdeführer aufzuerlegen sind (Art. 63 Abs. 1 VwVG).</w:t>
      </w:r>
    </w:p>
    <w:p>
      <w:r>
        <w:t>(Dispositiv nächste Seite)</w:t>
      </w:r>
    </w:p>
    <w:p>
      <w:r>
        <w:t>E-904/2024 Seite 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