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E-89/2013 vom 12. Februar 2013</w:t>
      </w:r>
    </w:p>
    <w:p>
      <w:r>
        <w:t>Bundesverwaltungsgericht, 2013-02-12, DE</w:t>
      </w:r>
    </w:p>
    <w:p>
      <w:r>
        <w:rPr>
          <w:b/>
        </w:rPr>
        <w:t xml:space="preserve">Quelle: </w:t>
      </w:r>
      <w:r>
        <w:t>https://mcp.opencaselaw.ch/entscheid/bvger_E-89_2013</w:t>
      </w:r>
    </w:p>
    <w:p>
      <w:r>
        <w:t>FR: TAF E-89/2013 du 12 février 2013</w:t>
      </w:r>
    </w:p>
    <w:p>
      <w:r>
        <w:t>IT: TAF E-89/2013 del 12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ablehnenden Verfügung aus, dem Beschwerdeführer sei es nicht gelungen, seine Vorbringen, die ihn zum Verlassen seines Heimatlandes bewogen hätten, glaubhaft darzulegen. So habe er im Rahmen der Kurzbefragung angegeben, dass er sich einige Tage in G._______ (Gemeinde von D._______), bei einem Freund versteckt habe, nachdem er von der Polizei verfolgt worden sei, weil er am 26. November 2011 an einer Demonstration Steine gegen die Polizisten geworfen habe. Anlässlich der Bundesanhörung hingegen habe er zu Protokoll gegeben, er sei vom 30. November 2011 bis im Februar 2012 in D._______ gewesen und sei dann nach Kinshasa zurückgekehrt, wo er von Zivilpolizisten verhaftet und misshandelt und dann in ein Spital gebracht worden sei von wo aus ihm dank der Hilfe eines Arztes die Flucht gelungen sei. Mit seiner Äusserung, er habe im Rahmen der Befragung nicht alle Vorfälle erzählen können, weil er angehalten worden sei, sich kurz zu fassen und weil er bloss ungefähr 40 Minuten Zeit gehabt habe, um seine Vorfälle zu schildern, vermöge er nicht zu erklären, weshalb er wesentliche Fluchtgründe erst im Rahmen der Bundesanhörung erwähnt habe. Dies umso weniger, als die Befragung im EVZ C._______ dreieinhalb Stunden gedauert habe. Damit seien die geltend gemachte Verhaftung, die Misshandlungen sowie die Flucht aus dem Spital als unbegründete Nachschübe und damit als unglaubhaft zu qualifizieren. Des Weiteren sei sonderbar und widerspreche der allgemeinen Erfahrung und der Logik des Handelns, dass der Beschwerdeführer nach einigen Tagen respektive nach mindestens zwei Monaten von D._______, wo er keine Probleme gehabt habe, wieder nach Kinshasa zurückgekehrt sein wolle, obwohl er dort angeblich von den Behörden gesucht und verfolgt worden sei. Seine Aussage, es hätte sein können, dass ihm dank Gottes Gnade in Kinshasa nichts passieren würde, ändere nichts an dieser Einschätzung. In Bezug auf die Verlustbestätigung der Wählerkarte, die er sich angeblich am 20. Februar 2012 habe ausstellen lassen und auf welcher die Adresse seiner Wohnung, wo er sich zur fraglichen Zeit versteckt gehalten habe, angegeben ist, führte das BFM aus, es sei völlig unlogisch, dass der Beschwerdeführer zu den Behörden gegangen sein wolle und ihnen die Adresse angegeben habe, an welcher er sich angeblich versteckt aufgehalten haben soll. Mit seiner Aussage, dass bei den kongolesischen Behörden mit Geld alles erreicht werden könne, widerlege er seinen Erklärungsversuch, wonach er nichts anderes habe machen können, als diese Adresse anzugeben, gleich selbst. So entsprächen weder die geltend gemachte Rückkehr nach Kinshasa, wo er angeblich gesucht und verfolgt worden sei, noch die Angaben zu seiner illegalen Aufenthaltsadresse, die er bei den Behörden angegeben habe, dem Verhalten einer Person, die behördlich gesucht und verfolgt werde. Vom Beschwerdeführer wäre zu erwarten gewesen, dass er nicht ohne triftige Gründe nach Kinshasa zurückgekehrt sei und den Behörden nicht jene Adresse angegeben hätte, an welcher er sich angeblich versteckt aufgehalten habe. Aufgrund des gesamten Aussageverhaltens sei die geltend gemachte Verfolgung nach dem Verlust seiner Wählerkarte als Sachverhaltskonstrukt zu qualifizieren.</w:t>
      </w:r>
    </w:p>
    <w:p>
      <w:r>
        <w:rPr>
          <w:b/>
        </w:rPr>
        <w:t>E. 5.2</w:t>
      </w:r>
    </w:p>
    <w:p>
      <w:r>
        <w:t>Wie das BFM geht auch das Gericht davon aus, dass die Vorbringen des Beschwerdeführers den Anforderungen an das Glaubhaftmachen gemäss Art. 7 AsylG nicht standhalten. So ist der Verweis der Vorinstanz, er habe wesentliche Asylvorbringen nachgeschoben, durchaus berechtigt. Obschon die Erstbefragung ihrem Zweck entsprechend zwar etwas kürzer ausfiel als die Anhörung, wurde der Beschwerdeführer dort jedoch spezifisch und mehrfach nach den konkreten Ausreisegründen gefragt (vgl. Akten BFM A 4/13 S. 7). Dennoch erwähnte er erst anlässlich der Anhörung die als ausreiseauslösend qualifizierte Verhaftung durch Zivilpolizisten und seine Misshandlung (vgl. A 20/17 S. 8 f.). Auch die erst bei der Anhörung vom 16. November 2011 erwähnte Sachverhaltserweiterung, wonach er nach den Misshandlungen in ein Spital gebracht worden sei, von wo aus ihm mit Hilfe zweier Ärzte schliesslich die Flucht gelungen sei, ist ohne Angabe eines Grundes nachgeschoben. Sein Erklärungsversuch, man habe ihn anlässlich der Befragung angehalten, sich kurz zu fassen, vermag nicht zu überzeugen, zumal die Befragung insgesamt dreieinhalb Stunden gedauert hat (vgl. A 4/13 S. 10) und es nicht Sinn des behördlichen Untersuchungsgrundsatzes und der Abklärungspflicht sein kann, spezifisch Elemente zu ergründen, die Kerngegenstand der Mitwirkungspflicht in einem Asylverfahren darstellen (vgl. insb. Art. 8 Abs. 1 Bst. c AsylG). Seine Ausführungen in der Beschwerdeschrift, worin er im Wesentlichen das bereits Vorgebrachte wiederholt und auf dessen Wahrheitsgehalt beharrt, sind nicht geeignet, um zureichende Anhaltspunkte für eine andere Betrachtungsweise zu liefern. Zur Vermeidung von Wiederholungen kann für das Weitere vollumfänglich auf die Erwägungen der angefochtenen Verfügung vom 4. Dezember 2012 sowie der Zwischenverfügung vom 10. Januar 2013 verwiesen werden.</w:t>
      </w:r>
    </w:p>
    <w:p>
      <w:r>
        <w:rPr>
          <w:b/>
        </w:rPr>
        <w:t>E. 5.3</w:t>
      </w:r>
    </w:p>
    <w:p>
      <w:r>
        <w:t>Zusammenfassend ist somit festzuhalten, dass die Asylvorbringen des Beschwerdeführers den Anforderungen an das Glaubhaftmachen nicht zu genügen vermögen.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Kongo (Kinshasa)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Dies ist dem Beschwerdeführer unter Hinweis auf die vorstehenden Erwägungen nicht gelungen. Auch die allgemeine Menschenrechtssituation in Kongo (Kinshasa) lässt den Wegweisungsvollzug zum heutigen Zeitpunkt nicht als unzulässig erscheinen.</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7.5.2</w:t>
      </w:r>
    </w:p>
    <w:p>
      <w:r>
        <w:t>Die Vorinstanz führte in der angefochtenen Verfügung aus, dass weder die politische Sicherheitslage in Kongo (Kinshasa) noch andere Gründe gegen die Zumutbarkeit des Wegweisungsvollzugs sprechen würden.</w:t>
      </w:r>
    </w:p>
    <w:p>
      <w:r>
        <w:rPr>
          <w:b/>
        </w:rPr>
        <w:t>E. 7.5.3</w:t>
      </w:r>
    </w:p>
    <w:p>
      <w:r>
        <w:t>Hinsichtlich der allgemeinen Lage in Kongo (Kinshasa) kann auf die detaillierte, noch von der ARK erstellte und in EMARK 2004 Nr. 33 E. 8.1-8.3 S. 232 ff. publizierte Lageanalyse verwiesen werden, welche das Bundesverwaltungsgericht als im Wesentlichen weiterhin zutreffend erachtet (vgl. diesbezüglich beispielsweise Urteile des Bundesverwaltungsgerichts E-1177/2010 vom 24. März 2010, D-7028/2008 vom 14. Juni 2008 und D-1005/2010 vom 24. August 2010).</w:t>
      </w:r>
    </w:p>
    <w:p>
      <w:r>
        <w:rPr>
          <w:b/>
        </w:rPr>
        <w:t>E. 7.5.4</w:t>
      </w:r>
    </w:p>
    <w:p>
      <w:r>
        <w:t>Auch aus den Akten ergeben sich keine in der Person des Be­schwerdeführers liegenden Anhaltspunkte, die gegen die Zumutbarkeit des Wegweisungsvollzugs sprechen würden. Bei ihm handelt es sich um einen 36-jährigen und den Akten zufolge gesunden Mann, der in Kongo (Kinshasa) geboren und aufgewachsen ist. Eigenen Aussagen gemäss lebte seine Partnerin mit den (...) Kindern vor seiner Ausreise in Kinshasa (vgl. Akten BFM A4/13 S. 3 ff.). Zudem verfüge er über eine (...), welche im Norden des Landes lebe (vgl. A4/13 S. 5). Damit kann er bei einer Rückkehr auf ein familiäres Beziehungsnetz zurückgreifen und ist mithin nicht auf sich allein gestellt. Darüber hinaus besitzt er einige Jahre Schulbildung (sechs Jahre Primarschule, ein Jahr Sekundarschule) und war in den Jahren 2006-2011 auf dem Markt als (...) tätig (vgl. A4/13 S. 4). Insgesamt sollte damit die Fähigkeit geschaffen sein, dass er sich bei einer Rückkehr (nach allfälliger Hilfe seiner Familie und anderer Personen) auch wirtschaftlich wieder integrieren kann.</w:t>
      </w:r>
    </w:p>
    <w:p>
      <w:r>
        <w:rPr>
          <w:b/>
        </w:rPr>
        <w:t>E. 7.6</w:t>
      </w:r>
    </w:p>
    <w:p>
      <w:r>
        <w:t>Somit erweist sich der Vollzug der Wegweisung insgesamt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w:t>
      </w:r>
    </w:p>
    <w:p>
      <w:r>
        <w:t>Insgesamt hat die Vorinstanz den Wegweisungsvollzug zu Recht als zulässig, zumutbar und möglich erachtet. Nach dem Gesagten fällt eine Anordnung der vorläufigen Aufnahme ausser Betracht (Art. 83 Abs. 1-4 AuG).</w:t>
      </w:r>
    </w:p>
    <w:p>
      <w:r>
        <w:rPr>
          <w:b/>
        </w:rPr>
        <w:t>E. 9</w:t>
      </w:r>
    </w:p>
    <w:p>
      <w:r>
        <w:t>Im Übrigen werden keine konkreten Gründe geltend gemacht und es sind auch keine solchen aus den Akten ersichtlich, welche eine Rückweisung der Sache an die Vorinstanz rechtfertigen könnten, weshalb das Eventualbegehren abzuweisen ist. 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von Fr. 600.- dem Beschwerdeführer aufzuerlegen (Art. 63 Abs. 1 VwVG; Art. 1-3 des Reglements vom 21. Februar 2008 über die Kosten und Entschädigungen vor dem Bundesverwaltungsgericht [VGKE, SR 173.320.2]) und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