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E-89/2011 vom 15. Februar 2011</w:t>
      </w:r>
    </w:p>
    <w:p>
      <w:r>
        <w:t>Bundesverwaltungsgericht, 2011-02-15, DE</w:t>
      </w:r>
    </w:p>
    <w:p>
      <w:r>
        <w:rPr>
          <w:b/>
        </w:rPr>
        <w:t xml:space="preserve">Quelle: </w:t>
      </w:r>
      <w:r>
        <w:t>https://mcp.opencaselaw.ch/entscheid/bvger_E-89_2011</w:t>
      </w:r>
    </w:p>
    <w:p>
      <w:r>
        <w:t>FR: TAF E-89/2011 du 15 février 2011</w:t>
      </w:r>
    </w:p>
    <w:p>
      <w:r>
        <w:t>IT: TAF E-89/2011 del 15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In formeller Hinsicht rügte der Beschwerdeführer die Verletzung seines rechtlichen Gehörs, weil das BFM nicht untersucht habe, ob "eine Konfrontation mit dem Militär" "im Rahmen eines regulären militärischen Rahmens erfolgte oder nicht". Der Grundsatz des rechtlichen Gehörs (Art. 29 Abs. 2 der Bundesverfassung der Schweizerischen Eidgenossenschaft vom 18. April 1999 [BV, SR 101], Art. 29 und Art. 32 Abs. 1 VwVG) verlangt, dass die verfügende Behörde die Vorbringen des Beschwerdeführers tatsächlich hört, sorgfältig und ernsthaft prüft und in der Entscheidfindung berücksichtigt, was sich entsprechend in der Begründung des Entscheides niederschlagen muss (vgl. Art. 35 Abs. 1 VwVG; Entscheide und Mitteilungen der Schweizerischen Asylrekurskommission [EMARK] 2004 Nr. 38 E. 6.3 S. 264). Die Abfassung der Begründung soll es dem Betroffenen möglich ma­chen, den Entscheid gegebenenfalls sachgerecht anzufechten, was nur möglich ist, wenn sich sowohl der Betroffene als auch die Rechtsmittelinstanz über die Tragweite des Entscheides ein Bild machen können (Entscheidungen des Schweizerischen Bundesgerichts [BGE] 129 I 232 E. 3.2). Dabei muss sich die verfügende Behörde nicht ausdrücklich mit jeder tatbeständlichen Behauptung und jedem rechtlichen Einwand auseinander setzen, sondern darf sich auf die wesentlichen Gesichtspunkte beschränken (BGE 126 I 97, E. 2b).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(BGE 112 Ia 110; zum Ganzen: Entscheide des Schweizerischen Bundesverwaltungsgerichts [BVGE] 2008/47 E. 3.2. S. 674 f.; EMARK 2006 Nr. 24 E. 5.1 S. 256; 2006 Nr. 4 E. 5 S. 44 ff.; 2004 Nr. 38 E. 7 S. 265).</w:t>
      </w:r>
    </w:p>
    <w:p>
      <w:r>
        <w:rPr>
          <w:b/>
        </w:rPr>
        <w:t>E. 4.2</w:t>
      </w:r>
    </w:p>
    <w:p>
      <w:r>
        <w:t>Vorliegend äusserte sich der Beschwerdeführer anlässlich der Befragung und Anhörung lediglich auf Nachfrage zum von ihm noch zu leistenden türkischen Militärdienst, den er bisher dank Studium/Schule habe verschieben können. Dabei gab er zu Protokoll, dass das Aufgebot indessen etwa im August 2010 hätte kommen sollen (vgl. A1 S. 10; A19 S. 4). Weiter gab er an, Kurden würden bewusst ins kurdische Gebiet geschickt, um gegen kurdische Befreiungskämpfer eingesetzt zu werden. Da er politisch aktiv gewesen sei, würde er bestimmt ins kurdische Gebiet geschickt.</w:t>
      </w:r>
    </w:p>
    <w:p>
      <w:r>
        <w:rPr>
          <w:b/>
        </w:rPr>
        <w:t>E. 4.3</w:t>
      </w:r>
    </w:p>
    <w:p>
      <w:r>
        <w:t>Das BFM setzte sich mit diesem Vorbringen in Ziff. 3 seiner Verfügung vom 6. Dezember 2010 detailliert auseinander, wobei zutrifft, dass es der Aussage des Beschwerdeführers, er sei politisch aktiv gewesen, weshalb er aus diesem Grund erst recht in den kurdischen Gebieten eingesetzt werden dürfte, keine spezielle Beachtung schenkte. Somit wurde ein Sachverhaltselement nicht ausdrücklich festgehalten.</w:t>
      </w:r>
    </w:p>
    <w:p>
      <w:r>
        <w:rPr>
          <w:b/>
        </w:rPr>
        <w:t>E. 4.4</w:t>
      </w:r>
    </w:p>
    <w:p>
      <w:r>
        <w:t>Es stellt sich daher die Frage, ob diese Gehörsverletzung auf Be­schwerdeebene geheilt werden kann oder zur Kassation der an­gefochtenen Verfügung führt.</w:t>
      </w:r>
    </w:p>
    <w:p>
      <w:r>
        <w:rPr>
          <w:b/>
        </w:rPr>
        <w:t>E. 4.5</w:t>
      </w:r>
    </w:p>
    <w:p>
      <w:r>
        <w:t>Das Bundesverwaltungsgericht geht - in Fortsetzung der Praxis der Schweizerische Asylrekurskommission (ARK) - davon aus, dass Gehörsverletzungen beziehungsweise un­vollständige Sachverhaltsfeststellungen dank der umfassenden Kognition des Bundesverwaltungsgerichts als Beschwerdeinstanz (Art. 106 AsylG) unter bestimmten Voraussetzungen geheilt werden können (vgl. dazu: EMARK 2004 Nr. 38 E. 7.1, 1998 Nr. 34 E. 10d, mit weiteren Hinweisen). Nachdem das BFM das politische Engagement des Beschwerdeführers als unglaubhaft erachtete, prüfte das BFM in seinen Erwägungen zum Militärdienst zu Recht nicht, ob allenfalls ein "Politmalus" vorliegen könnte, wenn politisch aktive Kurden den Dienst in von Kurden umkämpften Gebieten zu leisten haben. Unter Berücksichtigung dessen, dass das Bundesverwaltungsgericht hinsichtlich der Frage eines allfälligen "Politmalus" über die volle Kognition verfügt, kann der festgestellte Verfahrensmangel als geheilt betrachtet werden, zumal der rechtserhebliche Sachverhalt erstellt und somit die notwendige Entscheidreife gegeben ist.</w:t>
      </w:r>
    </w:p>
    <w:p>
      <w:r>
        <w:rPr>
          <w:b/>
        </w:rPr>
        <w:t>E. 4.6</w:t>
      </w:r>
    </w:p>
    <w:p>
      <w:r>
        <w:t>Folglich hat das BFM vorliegend das rechtliche Gehör des Beschwerdeführers nicht verletzt.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Der Beschwerdeführer begründete die asylrechtlich relevante Verfolgung wie folgt: Er sei Mitglied der Jugendfraktion der BDP gewesen; zu seinen Aufgaben habe es gehört, politische Broschüren und Zeitschriften zu verteilen und die Leute über die BDP zu informieren. Er sei von der Polizei beobachtet worden und sie hätten von seinem politischen Engagement Kenntnis gehabt. Als Folge sei er von der Polizei schikaniert und massiv verfolgt worden: Die Polizei habe mehrmals bei ihm zu Hause Razzien durchgeführt, dabei ihn und seine Familienmitglieder beschimpft und erniedrigt. Mehrere Male sei er von der Gendarmerie an einen Ort ca. 30 bis 40 Kilometer ausserhalb der Stadt abgeführt und dort mit Gummiknüppeln geschlagen und getreten worden. Schliesslich sei er mehrmals in Untersuchungshaft genommen worden. Angesichts dieser Verfolgungssituation habe er die Türkei im Februar bzw. März 2010 verlassen. Er habe von seiner Familie erfahren, dass die Sicherheitskräfte ca. einen Monat nach seiner Ausreise in B._______ nach ihm gesucht hätten, und befürchte deshalb, dass ihm bei einer Rückkehr aufgrund seiner Ausreise eine Gefängnisstrafe drohe (A19 S. 4, 7). Die Frage, ob die Sicherheitskräfte ihn womöglich zur Einziehung des obligatorischen Militärdienstes und nicht wegen seiner politischen Aktivitäten gesucht haben könnten, verneinte er. Gleichzeitig machte er aber geltend, dass er nicht bereit wäre Militärdienst zu leisten, da er als ethnischer Kurde gezielt im "kurdischen" Gebiet eingesetzt werde, wo er gezwungen wäre gegen die "kurdischen Befreiungskämpfer" zu kämpfen (A19 S. 4).</w:t>
      </w:r>
    </w:p>
    <w:p>
      <w:r>
        <w:rPr>
          <w:b/>
        </w:rPr>
        <w:t>E. 5.4</w:t>
      </w:r>
    </w:p>
    <w:p>
      <w:r>
        <w:t>Das BFM begründete seine Zweifel an der Glaubhaftigkeit der Vorbringen des Beschwerdeführers zu seinem politischen Engagement damit, dass dieser nicht in der Lage war, konkrete Angaben über die Struktur der BDP in B._______ zu machen, obschon er geltend gemacht habe, Parteimitglied zu sein und sich innerhalb der Jugendfraktion der BDP engagiert zu haben (vgl. A19 S. 4, 5). Ferner stellte das Bundesamt fest, dass die Aussagen des Beschwerdeführers hinsichtlich der geltend gemachten Benachteiligungen teilweise widersprüchlich und insgesamt ausweichend und vage ausgefallen seien (vgl. A19 S. 5 - 7). Die Vorbringen zu seinem politischen Engagement und der daraus resultierenden Verfolgung würden somit den Anforderungen an die Glaubhaftigkeit gemäss Art. 7 AsylG nicht standhalten. Einer Verweigerung den Militärdienst zu leisten sprach das Bundesamt die Asylrelevanz ab: Es stellte fest, dass keine Anhaltspunkte dafür vorliegen würden, dass der türkische Staat betreffs der Einberufung in einer asylrelevanten Verfolgungsabsicht handeln würde, da diese aufgrund der Staatsangehörigkeit und des Jahrgangs erfolgen würde. Ferner lasse sich ein Zusammenhang zwischen Stationierungsort und Ethnie nicht herstellen, zumal die Einteilung in eine Truppeneinheit nach dem Zufallsprinzip vorgenommen würde.</w:t>
      </w:r>
    </w:p>
    <w:p>
      <w:r>
        <w:rPr>
          <w:b/>
        </w:rPr>
        <w:t>E. 5.5</w:t>
      </w:r>
    </w:p>
    <w:p>
      <w:r>
        <w:t>Der Beschwerdeführer monierte in seiner Beschwerde sinngemäss, dass die Vorinstanz die Anforderungen der Glaubhaftigkeit gemäss Art. 7 AsylG zu hoch angesetzt habe, beziehungsweise machte er geltend, dass er diesen Anforderungen in genügender Weise nachgekommen sei.</w:t>
      </w:r>
    </w:p>
    <w:p>
      <w:r>
        <w:rPr>
          <w:b/>
        </w:rPr>
        <w:t>E. 6.1</w:t>
      </w:r>
    </w:p>
    <w:p>
      <w:r>
        <w:t>Gemäss der ständigen Praxis bedeutet Glaubhaftmachung im Sinne des Art. 7 Abs. 2 AsylG - wie vom Beschwerdeführer richtig bemerkt - ein reduziertes Beweismass, d.h. sie lässt - im Gegensatz zum strikten Beweis - durchaus Raum für gewisse Einwände und Zweifel an den Vorbringen des Gesuchstellers. Entscheidend ist, ob die Gründe, die für die Richtigkeit der gesuchstellerischen Sachverhaltsdarstellung sprechen, überwiegen oder nicht (vgl. etwa EMARK 1996 Nr. 27 E. 3c/aa). Für die Glaubhaftmachung reicht es aber demnach nicht aus, wenn der Inhalt der Vorbringen zwar möglich ist, aber in Würdigung der gesamten Aspekte wesentliche und überwiegende Umstände gegen die vorgebrachte Sachverhaltsdarstellung sprechen (EMARK 1996 Nr. 28 E. 3a).</w:t>
      </w:r>
    </w:p>
    <w:p>
      <w:r>
        <w:rPr>
          <w:b/>
        </w:rPr>
        <w:t>E. 6.2</w:t>
      </w:r>
    </w:p>
    <w:p>
      <w:r>
        <w:t>In Würdigung der Aktenlage und des Gesagten ist festzustellen, dass die Gründe, welche für die Richtigkeit der Vorbringen des Beschwerdeführers sprechen, im vorliegenden Fall nicht überwiegen. Damit hat die Vorinstanz aber nicht - wie vom Beschwerdeführer moniert - die Anforderungen an die Glaubhaftigkeit zu hoch angesetzt, sondern es ist dem Beschwerdeführer mithin nicht gelungen, glaubhaft darzulegen, dass er in seinem Heimatland aus politischen Gründen verfolgt wurde und aufgrund seiner politischen Tätigkeiten gesucht wird. Vielmehr ist der Einschätzung der Vorinstanz zu folgen, dass das politische Engagement des Beschwerdeführers bei der BPD angesichts seiner fehlenden Kenntnis der lokalen Struktur und der Namen der Parteikader (vgl. A19 S. 4 - 5) nicht glaubhaft gemacht werden konnte. Ein Vergleich der Befragungsprotokolle zeigt ferner auf, dass sich der Beschwerdeführer in seinen Aussagen hinsichtlich der geltend gemachten Benachteiligungen in Widersprüche verstrickte - wie vom BFM richtig festgestellt - und ansonsten in seinen Ausführungen vage und ausweichend blieb. Um "Gedächtnislücken" zu begründen, verwies der Beschwerdeführer jeweils auf psychische Probleme (A1 S. 9; A19 S. 3, 5), ohne jedoch in seiner Beschwerde auf diese zurückzukommen noch diese weiter zu belegen. Auch wurde ein in Aussicht gestelltes Papier, welches die Parteimitgliedschaft und -tätigkeit bestätigen sollte (vgl. A19 S. 2, 5), nie eingereicht. Ebenso verzichtete er im Allgemeinen darauf, sich in der Beschwerde im Einzelnen mit den vom BFM genannten Unglaubhaftigkeitselementen auseinanderzusetzen; vielmehr machte er bloss pauschal geltend, dass er - im Rahmen seiner Möglichkeiten - die Verfolgungssituation hinreichend glaubhaft vorgetragen habe. Es sprechen also wesentliche und überwiegende Umstände gegen die Glaubwürdigkeit des Beschwerdeführers und die Glaubhaftigkeit des geltend gemachten politischen Engagements und der damit angeblich einhergehenden Verfolgung. Es ist vielmehr davon auszugehen, dass der Beschwerdeführer sein Heimatland aus militärrechtlichen Gründen (sogenannte Refraktion) verliess, da gemäss seinen Aussagen (vgl. A1 S. 10; A19 S. 4) das Aufgebot zum Einzug in den Militärdienst kurz nach seiner Ausreise hätte erfolgen müssen.</w:t>
      </w:r>
    </w:p>
    <w:p>
      <w:r>
        <w:rPr>
          <w:b/>
        </w:rPr>
        <w:t>E. 6.3</w:t>
      </w:r>
    </w:p>
    <w:p>
      <w:r>
        <w:t>An dieser Stelle ist dazu festzuhalten, dass gemäss konstanter Praxis allfällige strafrechtliche Konsequenzen wegen Refraktion, Dienstverweigerung oder Desertion bei einer Rückkehr ins Heimatland grundsätzlich keine Verfolgung im Sinne des Asylgesetzes darstellen. Es ist ein legitimes Recht jedes Staates, seine Bürger zum Militärdienst einzuberufen, weshalb strafrechtliche oder disziplinarische Massnahmen bei Pflichtverletzungen grundsätzlich nicht als politisch motivierte oder menschenrechtswidrige Verfolgungsmassnahmen zu betrachten sind. Unter gewissen Umständen kann allerdings eine Einberufung zum Militärdienst oder eine drohende Bestrafung wegen Refraktion, Dienstverweigerung oder Desertion dennoch für eine Anerkennung als Flüchtling beachtlich sein, zum Beispiel, wenn der Wehrpflichtige aufgrund der Rasse, Religion, Nationalität, seiner Zugehörigkeit zu einer ethnischen oder sozialen Gruppierung oder wegen seiner politischen Anschauungen mit einer unverhältnismässig schweren Strafe zu rechnen hat oder wenn das Strafmass für ihn höher ausfällt, als für Deserteure und Refraktäre ohne diesen spezifischen Hintergrund oder wenn der Wehrpflichtige aus denselben Gründen während des Dienstes schwersten Übergriffen und Misshandlungen durch Kameraden und Vorgesetzte ausgesetzt wäre; ferner auch dann, wenn der Militärdienst dazu dient, bestimmte Personen oder Personengruppen aus asylrechtlich relevanten Verfolgungsmotiven im Lauf ihrer Dienstleistung zu disziplinieren, einzuschüchtern, zu assimilieren oder gezielter menschenrechtswidriger Behandlung auszusetzen (vgl. EMARK 2006 Nr. 3 E. 4.2 S. 31 f., 2004 Nr. 2 E. 6b.aa S. 16 ff., 2003 Nr. 8 E. 6 S. 52 ff., 2002 Nr. 19 E. 7 S. 159 f.; vgl. dazu auch: UNHCR, Handbuch über Verfahren und Kriterien zur Feststellung der Flüchtlingseigenschaft, Absätze 167 ff.; Samuel Werenfels, Der Begriff des Flüchtlings im schweizerischen Asylrecht, Bern u.a. 1987, S. 255 ff.; Walter Kälin, Grundriss des Asylverfahrens, Basel/Frankfurt a. M. 1990, S. 115 ff.; Alberto Achermann/Christina Hausammann, Handbuch des Asylrechts, 2. Aufl., Bern/Stuttgart 1991, S. 104.; Christa Luterbacher, Die flüchtlingsrechtliche Behandlung von Dienstverweigerung und Desertion, Basel u.a., 2004, S. 44 ff.).</w:t>
      </w:r>
    </w:p>
    <w:p>
      <w:r>
        <w:rPr>
          <w:b/>
        </w:rPr>
        <w:t>E. 6.4</w:t>
      </w:r>
    </w:p>
    <w:p>
      <w:r>
        <w:t>Wie vom BFM richtig festgestellt, werden wehrpflichtige Männer in der Türkei aufgrund der Staatsangehörigkeit und ihres Jahrgangs für das Militär aufgeboten, ohne dass dieser Verpflichtung eine asylrechtlich relevante Verfolgungsabsicht des Staates zugrunde liegen würde. Die Wahrscheinlichkeit, dass kurdische Soldaten während des obligatorischen Militärdienstes gegen Angehörige ihrer eigenen Ethnie eingesetzt werden - wie es der Beschwerdeführer während der Anhörung durch das BFM geltend machte (vgl. A19 S. 4) - ist sehr gering. Auch wenn nicht gänzlich ausgeschlossen werden kann, dass kurdische Soldaten im Südosten der Türkei zum Einsatz kommen könnten, kann jedenfalls ausgeschlossen werden, dass dies auf systematische Weise geschehen würde. Eine allfällige Bestrafung wegen Wehrdienstverweigerung oder Desertion wäre vorliegend als legitime staatliche Massnahme zur Durchsetzung einer staatsbürgerlichen Pflicht und damit als asylrechtlich ebenfalls nicht relevant zu charakterisieren. Bisher wurde nicht bekannt, dass kurdische Refraktäre/Deserteure ihrer Ethnie oder ihres Gewissens wegen im Sinne eines "Malus" generell strengere Strafen zu gewärtigen hätten als Refraktäre/Deserteure türkischer Ethnie. Nachdem sich die vom Beschwerdeführer allenfalls zu erwartenden strafrechtlichen Sanktionen als nicht relevant im Sinne des Asylgesetzes erweisen (vgl. dazu EMARK 2004 Nr. 2 S. 12 ff.), liegt in dieser Hinsicht - wie vom BFM richtig festgestellt - keine objektiv begründete Furcht vor Verfolgung vor.</w:t>
      </w:r>
    </w:p>
    <w:p>
      <w:r>
        <w:rPr>
          <w:b/>
        </w:rPr>
        <w:t>E. 6.5</w:t>
      </w:r>
    </w:p>
    <w:p>
      <w:r>
        <w:t>Zusammenfassend ist festzustellen, dass die geltend gemachte Suche nach dem Beschwerdeführer offensichtlich nicht auf ein politisches Engagement zurückgeführt werden kann - da ein solches respektive die asylrelevante Verfolgung von ihm nicht glaubhaft dargelegt werden konnte - sondern, dass er wohl aus militärrechtlichen Gründen gesucht wird. Eine solche Refraktion bzw. eine wegen des Nichtleistens des Militärdienstes drohende Strafe entbehrt im vorliegenden Fall einer politischen und mithin asylrechtlich relevanten Grundlage, d.h. sie vermag die Flüchtlingseigenschaft des Beschwerdeführers nicht zu begründen. Das BFM hat somit zu Recht festgestellt, dass der Beschwerdeführer die Flüchtlingseigenschaft nicht erfülle und sein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BFM begründete die Zumutbarkeit der Rückführung damit, dass weder die im Heimatstaat des Beschwerdeführers herrschende Situation noch andere Gründe gegen diese sprechen würden. Dieser Einschätzung ist aufgrund der Aktenlage - der Beschwerdeführer ist jung, ledig und gesund - und in Anbetracht der heutigen Situation in der Türkei zuzustimmen. Der Beschwerdeführer unterliess es, in der Beschwerde auf allfällige entsprechende Wegweisungshindernisse hinzuweisen.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Diese sind auf insgesamt Fr. 600.-- festzusetzen (Art. 1 - 3 des Reglements vom 21. Februar 2008 über die Kosten und Entschädigungen vor dem Bundesverwaltungsgericht [VGKE, SR 173.320.2]) und mit dem am 15. Januar 2011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