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E-894/2008 vom 8. April 2011</w:t>
      </w:r>
    </w:p>
    <w:p>
      <w:r>
        <w:t>Bundesverwaltungsgericht, 2011-04-08, FR</w:t>
      </w:r>
    </w:p>
    <w:p>
      <w:r>
        <w:rPr>
          <w:b/>
        </w:rPr>
        <w:t xml:space="preserve">Quelle: </w:t>
      </w:r>
      <w:r>
        <w:t>https://mcp.opencaselaw.ch/entscheid/bvger_E-894_2008</w:t>
      </w:r>
    </w:p>
    <w:p>
      <w:r>
        <w:t>FR: TAF E-894/2008 du 8 avril 2011</w:t>
      </w:r>
    </w:p>
    <w:p>
      <w:r>
        <w:t>IT: TAF E-894/2008 del 8 aprile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(art. 48 al. 1 PA). Présenté dans la forme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appartient au requérant d'asile de rendre vraisemblables les faits allégués à l'appui de sa demande. Des allégations sont vraisemblables lorsque, sur les points essentiels, elles sont consistantes, cohérentes, plausibles et concluantes et que le requérant est personnellement crédible. Des allégations sont suffisamment consistantes lorsqu'elles reposent sur des descriptions détaillées, précises et concrètes, la vraisemblance de propos généraux, voire stéréotypés étant généralement écartée. Elles sont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w:t>
      </w:r>
    </w:p>
    <w:p>
      <w:r>
        <w:rPr>
          <w:b/>
        </w:rPr>
        <w:t>E. 3.2</w:t>
      </w:r>
    </w:p>
    <w:p>
      <w:r>
        <w:t>En l'occurrence, l'ODM a, dans sa décision de non-entrée en matière du 22 février 2007, comme dans sa décision 10 janvier 2008, relevé de nombreux éléments l'amenant à la conclusion que le recourant n'avait pas rendu vraisemblables les faits allégués à l'appui de sa demande, notamment le fait qu'il n'avait pas donné de manière correcte le nom de l'association des étudiants (...) dont il aurait été un des membres actifs. L'ODM a également retenu le caractère particulièrement vague des propos de l'intéressé concernant les examens d'entrée (...), qu'il allègue pourtant avoir personnellement passés en tant que candidat, et enfin le fait que ses déclarations au sujet des irrégularités constatées dans la publication des résultats d'examens ne correspondent pas aux faits relatés par de nombreux articles de presse : le recourant déclare en effet que la première liste publiée par le vice doyen, comportant les noms des candidats ayant réussi l'examen, comptait (...) noms, dont le sien, et qu'à la suite de l'intervention du ministre une nouvelle liste de (...) noms a été publiée, sur laquelle les noms d'une trentaine de candidats anglophones, dont le sien, avaient été remplacés par les noms de candidats francophones. Or, les articles de presse rassemblés par l'ODM ou fournis par le recourant lui-même relatent qu'il n'y a pas eu substitution, mais ajout de noms ; après publication de la première liste de (...) noms, une nouvelle liste de (...) candidats a été publiée, sur laquelle les noms de candidats francophones avaient été ajoutés. Le vice-doyen a dû reconnaître qu'il n'avait pas suivi le protocole, qui aurait dû l'amener à soumettre la liste au jury avant de la publier.</w:t>
      </w:r>
    </w:p>
    <w:p>
      <w:r>
        <w:rPr>
          <w:b/>
        </w:rPr>
        <w:t>E. 3.3</w:t>
      </w:r>
    </w:p>
    <w:p>
      <w:r>
        <w:t>Lors de son audition du 7 février 2007, le recourant a expliqué son incapacité à donner l'appellation correcte de son association d'étudiants par le fait que les étudiants utilisaient diverses appellations pour désigner celle-ci. Cette explication peut apparaître plausible de la part d'étudiants non impliqués spécialement dans l'association ; néanmoins, dès lors que le recourant prétend avoir joué un rôle non négligeable au sein de celle-ci et en particulier dans les événements de novembre 2006, il paraît pour le moins étonnant qu'il n'ait pas su le sigle précis, figurant d'ailleurs sur la carte qu'il a produit ultérieurement. S'agissant des irrégularités dans la publication des résultats, le recourant soutient que la presse est sous contrôle de l'Etat et ne dit pas la vérité. Il a produit, à l'appui de son recours du 1er mars 2007, contre la première décision de non-entrée en matière de l'ODM, un extrait d'un article publié sur internet (...), qui mentionne que les noms d'étudiants ont été changés sur la liste des résultats. Cependant, il s'agit d'un article isolé, rédigé au moment des événements. Il relate plutôt une rumeur et des témoignages circulant à l'époque sur le campus et ne saurait à lui seul démontrer que la version des faits du recourant correspond à la réalité. Preuve en est que, comme l'a relevé l'ODM, un second article publié le lendemain par le même journaliste fait état de l'ajout de (...) noms à la première liste. Quoi qu'il en soit, il est clair, à travers le nombre d'articles rassemblés par l'ODM, que la version la plus répandue est celle que des noms ont été ajoutés dans la seconde liste et il apparaît que le recourant n'aurait pas manqué d'en parler spontanément, si réellement il avait joué le rôle qu'il dit avoir joué lors de ces événements. Enfin, outre que sa version des faits ne correspond pas aux informations disponibles sur les événements, force est de constater que les déclarations du recourant, relatives aux examens d'entrée qu'il dit avoir subis, sont véritablement indigentes. Son état psychique pourrait, à la rigueur, expliquer ses difficultés de mémoire au moment de la première audition à l'aéroport, mais difficilement le fait qu'il n'ait pas été plus convaincant lors des auditions postérieures. En outre, il n'a jamais fourni la moindre preuve de sa participation à ces épreuves, alors qu'il était en relation avec d'autres étudiants, qui lui ont envoyé des copies de sa carte d'étudiant et de son acte de naissance. Certes, il a allégué que sa chambre avait été fouillée et que la police s'était emparée de ses documents personnels, de sorte qu'il était désormais recherché par les autorités comme l'un des instigateurs de la manifestation. Cependant, il a fourni en procédure de recours l'original de sa carte d'étudiant et de son acte de naissance, ce qui infirme ses déclarations.</w:t>
      </w:r>
    </w:p>
    <w:p>
      <w:r>
        <w:rPr>
          <w:b/>
        </w:rPr>
        <w:t>E. 3.4</w:t>
      </w:r>
    </w:p>
    <w:p>
      <w:r>
        <w:t>S'agissant des extraits tirés d'Internet où le nom du recourant est cité, produits à l'appui de son premier recours du 1er mars 2007, force est de constater, avec l'ODM, qu'il ne s'agit pas de moyens de preuve de source suffisamment sûre pour remettre en cause les éléments d'invraisemblance relevés ci-dessus. On relèvera également que si un nom analogue à celui dont il se prévaut est cité, le recourant n'a toujours pas réellement établi son identité par la production d'un document d'identité au sens de la loi (cf. art. 1a de l'ordonnance 1 du 11 août 1999 sur l'asile relative à la procédure (OA 1, RS 142.311). S'agissant d'abord de la copie de l'article de presse [première page du journal (...) paru le (...) 2007], et comme l'a relevé l'ODM dans sa décision, un tel document ne saurait constituer un moyen de preuve pertinent, dès lors qu'il s'agit d'une copie qui peut aisément être falsifiée. En outre, le grand titre dans lequel son nom est cité (...) est curieusement disposé et ne trouve aucun écho dans les quelques lignes suivantes, qui parlent de manière générale de la volonté de ([l'association d'étudiants]) de découvrir la vérité sur la mort de deux de ses membres lors de l'intervention brutale des militaires sur le campus ; enfin, le recourant n'a pas fourni la page 2 qui devrait contenir la suite de l'article. Quant au deuxième moyen de preuve, il s'agit d'un article publié sur un site Internet ([titre de l'article]). Il concerne une intervention de la police pour disperser un début d'émeute sur le campus de X._______, au mois de juin 2007, lors de l'organisation des oraux pour l'entrée à (...) et fait état d'une tentative de meurtre de la police sur le président de ([l'association des étudiants]) et certains de ses hommes de main (...), parmi lesquels le nom du recourant est cité. Force est de constater que cet article ne corrobore pas les dires du recourant. Celui-ci n'était pas dans son pays à l'époque de l'organisation de ces oraux et n'a jamais parlé d'une tentative de meurtre sur sa personne. Il a allégué au contraire que la police avait lancé des grenades, de manière indistincte, sur les manifestants. Certes, le nom du recourant est également cité dans un commentaire d'étudiant (...) qui suit cet article ; toutefois, comme l'a relevé l'ODM, un tel commentaire tiré d'un forum d'étudiants ne peut être considéré comme une preuve. Au demeurant, ce document prouve tout au plus que le nom du recourant est associé à la manifestation des étudiants relative aux examens d'entrée à l'école de médecine, mais non le fait qu'il serait recherché par les autorités de son pays.</w:t>
      </w:r>
    </w:p>
    <w:p>
      <w:r>
        <w:rPr>
          <w:b/>
        </w:rPr>
        <w:t>E. 3.5</w:t>
      </w:r>
    </w:p>
    <w:p>
      <w:r>
        <w:t>Au vu de ce qui précède, le Tribunal considère que le recourant n'a pas rendu vraisemblable qu'il a lui-même été candidat aux examens et qu'il était recherché par la police comme l'un des meneurs des manifestations. Cela dit, il présentait, à son arrivée en Suisse, des cicatrices au thorax et sur le dos, au sujet desquelles l'ODM n'a pas entrepris d'investigations, mais qui peuvent s'expliquer par la description qu'il donne des blessures reçues lors de l'intervention de la police contre les manifestants. Aussi, le Tribunal considère comme vraisemblable que le recourant a eu vent des rumeurs concernant les irrégularités constatées dans la publication des résultats d'examens à la filière de médecine, qu'il a participé à la manifestation d'étudiants sur le campus de X._______, et qu'il a pu être été blessé alors qu'il s'enfuyait lors de l'intervention de la police. Cependant, dès lors que ces émeutes ont rassemblé un nombre considérable d'étudiants et que, comme l'a relevé l'ODM, un accord a été signé entre l'association des étudiants et la direction de l'Université, qui assurait l'immunité aux étudiants mêlés aux manifestations, il n'y a pas lieu de conclure pour autant à un risque sérieux de persécution ciblée pour des raisons politiques, ethniques ou autres, prévues par l'art. 3 LAsi, en cas de retour dans son pays d'origine.</w:t>
      </w:r>
    </w:p>
    <w:p>
      <w:r>
        <w:rPr>
          <w:b/>
        </w:rPr>
        <w:t>E. 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7.1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(arrêts du Tribunal administratif fédéral E-5316/2006 du 24 novembre 2009 consid. 5 non publié dans ATAF 2009 /41, E-2775/2007 du 14 février 2008 consid. 6.4 non publié dans ATAF 2008/2 ;Jurisprudence et informations de la Commission suisse de recours en matière d'asile [JICRA] 2006 n° 30 consid. 7.3 p. 329; JICRA 2006 n° 23 consid. 6.2. p. 239 ; JICRA 2006 n° 6 consid. 4.2. p. 54ss). En l'occurrence, c'est sur la question de l'exigibilité de l'exécution du renvoi que le Tribunal entend porter son attention.</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7.4</w:t>
      </w:r>
    </w:p>
    <w:p>
      <w:r>
        <w:t>En l'occurrence, les rapports médicaux déposés par le recourant établissent que celui-ci est affecté de multiples troubles de santé. Le médecin traitant relève, dans son rapport daté du 10 février 2011, une excellente observance aux traitements, de sorte que la virémie HIV est indétectable (depuis juillet 2009); il en est de même de la virémie HBV. Le diagnostic est aujourd'hui le suivant : infection HIV stade A2 stabilisée sous traitement antirétroviral (Telzir 2 comprimés par jour ; Norvir 100 mg 1 comprimé par jour ; Truvada 1 comprimé par jour) et infection par le virus de l'hépatite B chronique, stabilisée sous traitement (Truvada), auxquelles s'ajoutent des troubles psychiques. Selon le rapport daté du 22 février 2011 des psychothérapeutes qui suivent l'intéressé, le diagnostic pour ces derniers est le suivant : trouble dépressif récurrent, épisode actuel sévère sans symptômes psychotiques (F33.2) ; état de stress post-traumatique en lien avec les événements vécus au pays (F43.1) ; difficultés d'adaptation à une nouvelle étape de la vie (Z60) ; expérience de catastrophe (Z65).</w:t>
      </w:r>
    </w:p>
    <w:p>
      <w:r>
        <w:rPr>
          <w:b/>
        </w:rPr>
        <w:t>E. 7.5</w:t>
      </w:r>
    </w:p>
    <w:p>
      <w:r>
        <w:t>Selon la jurisprudence du Tribunal et de la Commission suisse de recours en matière d'asile (CRA) précédemment compétente en la matière, l'exécution du renvoi d'une personne infectée par le VIH est en principe raisonnablement exigible tant que la maladie n'a pas atteint le stade C (selon la classification CDC), respectivement tant que le SIDA n'est pas déclaré. L'examen de la question ne dépend toutefois pas seulement du stade de la maladie (stades A à C), mais également de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particulièrement favorables (cf. ATAF 2009/2 consid. 9.3.4.p. 2 ; JICRA 2004 n° 7 consid. 5 d p. 50ss).</w:t>
      </w:r>
    </w:p>
    <w:p>
      <w:r>
        <w:rPr>
          <w:b/>
        </w:rPr>
        <w:t>E. 7.6</w:t>
      </w:r>
    </w:p>
    <w:p>
      <w:r>
        <w:t>Dans le cas concret, l'exécution du renvoi du recourant qui présente une infection HIV au stade A2, soit des valeurs CD4 relativement bonnes, est donc en principe exigible selon la jurisprudence précitée. Cependant, l'infection HIV n'est pas la seule pour laquelle le recourant nécessite un traitement à vie. Il est en outre infecté par le virus de l'hépatite B chronique, traitée - et actuellement stabilisée - par l'un des antirétroviraux prescrits (Truvada). Dans son dernier rapport, le médecin souligne qu'une impossibilité de poursuivre le traitement entraînera, outre une progression de l'infection HIV, une réactivation du virus de l'hépatite. Or, à l'époque où le traitement antirétroviral a été initié, soit il y a un peu plus de trois ans, le médecin soulignait le pronostic "extrêmement défavorable avec un risque de décès précoce" en cas d'absence de traitement, vu la co-infection HIV-hépatite B. Certes, le recourant était alors en traitement pour une tuberculose latente, dont le diagnostic actuel ne fait plus état. Cependant, il continue à présenter une coinfection qui exige un traitement à long terme et une surveillance particulière. A ces affections vient s'ajouter un état dépressif, dont l'épisode actuel est qualifié de sévère, selon le plus récent rapport médical fourni. Les praticiens pronostiquent, à défaut de traitement, une dégradation importante de la situation psychique du recourant et contre-indiquent du point de vue médical un retour au pays, vu la fragilité très importante du patient, les risques suicidaires n'étant pas à exclure.</w:t>
      </w:r>
    </w:p>
    <w:p>
      <w:r>
        <w:rPr>
          <w:b/>
        </w:rPr>
        <w:t>E. 7.7</w:t>
      </w:r>
    </w:p>
    <w:p>
      <w:r>
        <w:t>Cela étant, le Tribunal estime, tout bien pesé, que la conjonction d'éléments aussi défavorables dans le cas concret conduit à conclure à une mise en danger concrète du recourant en cas de retour. Compte tenu des valeurs CD4 qu'il présente, il n'est pas exclu qu'il ne puisse avoir un accès au programme de distribution gratuite des médicaments antirétroviraux, dans son pays d'origine (cf. arrêt du 20 janvier 2010 en la cause C-651/2006). Or, un arrêt du traitement impliquera non-seulement une évolution négative de son infection HIV, risque en soi non suffisant pour conclure à l'inexigibilité de l'exécution du renvoi, mais aussi à une réactivation de l'infection hépatite. Il sied également de rappeler que l'introduction et le choix du traitement ont été rendus plus complexes en raison des comorbidités que présentait le patient et de sa résistance à certains médicaments. Or, il n'existe aucune garantie quant à la gratuité du suivi biologique au cas où une modification du traitement s'avérait indispensable. A cela s'ajoute qu'en raison de la gravité de son état psychique, on ne peut réellement attendre du recourant qu'il puisse trouver les forces physiques et psychiques nécessaires, ni les ressources matérielles pour accéder dans son pays aux traitements complexes indispensables adaptés à son cas, même à supposer qu'ils soient disponibles, et il n'est pas établi qu'il puisse compter sur un réseau familial ou social à même de l'aider dans ses démarches et de le soutenir sur le plan psychique.</w:t>
      </w:r>
    </w:p>
    <w:p>
      <w:r>
        <w:rPr>
          <w:b/>
        </w:rPr>
        <w:t>E. 7.8</w:t>
      </w:r>
    </w:p>
    <w:p>
      <w:r>
        <w:t>Au vu de ce qui précède, le Tribunal arrive à la conclusion que l'exécution du renvoi exposerait le recourant à un danger grave et imminent pour sa santé, au vu de sa situation personnelle. Dès lors, étant donné la conjugaison de facteurs particulièrement défavorables, il y a lieu de prononcer son admission provisoire. Celle-ci, en principe d'une durée d'un an (art. 85 al. 1 LEtr), renouvelable si nécessaire, apparaît mieux à même d'écarter les risques sérieux qu'il court actuellement en cas de retour ; elle permettra également un réexamen périodique de la nécessité d'une prolongation du séjour en Suisse, en fonction de l'évolution de l'état de santé du recourant.</w:t>
      </w:r>
    </w:p>
    <w:p>
      <w:r>
        <w:rPr>
          <w:b/>
        </w:rPr>
        <w:t>E. 7.9</w:t>
      </w:r>
    </w:p>
    <w:p>
      <w:r>
        <w:t>En conséquence, le recours doit être admis sur ce point et la décision attaquée annulée en tant qu'elle prononce l'exécution du renvoi du recourant. L'autorité de première instance est donc invitée à prononcer l'admission provisoire de celui-ci.</w:t>
      </w:r>
    </w:p>
    <w:p>
      <w:r>
        <w:rPr>
          <w:b/>
        </w:rPr>
        <w:t>E. 8.1</w:t>
      </w:r>
    </w:p>
    <w:p>
      <w:r>
        <w:t>Compte tenu de l'issue de la procédure, une partie des frais devrait être mis à la charge du recourant, dont les conclusions en matière d'asile ont été rejetées (cf. art. 63 al.1 PA ).</w:t>
      </w:r>
    </w:p>
    <w:p>
      <w:r>
        <w:rPr>
          <w:b/>
        </w:rPr>
        <w:t>E. 8.2</w:t>
      </w:r>
    </w:p>
    <w:p>
      <w:r>
        <w:t>Toutefois, il a requis le bénéfice de l'assistance judiciaire. Dès lors que ses conclusions ne pouvaient être considérées comme, d'emblée, vouées à l'échec, sa demande doit être admise, eu égard à son indigence (cf. art. 65 al.1 PA). Partant, il n'y a pas lieu de percevoir de frais (art. 63 al. 2 PA).</w:t>
      </w:r>
    </w:p>
    <w:p>
      <w:r>
        <w:rPr>
          <w:b/>
        </w:rPr>
        <w:t>E. 8.3</w:t>
      </w:r>
    </w:p>
    <w:p>
      <w:r>
        <w:t>Le recourant ayant eu partiellement gain de cause, il a droit à une indemnité partielle pour les frais indispensables et relativement élevés qui lui ont été occasionnés (cf. art. 64 al 1 PA et art. 7 al. 2 FITAF du règlement du 11 décembre 2006 concernant les frais, dépens et indemnités fixés par le Tribunal administratif fédéral [FITAF, RS 173.320.2]).</w:t>
      </w:r>
    </w:p>
    <w:p>
      <w:r>
        <w:rPr>
          <w:b/>
        </w:rPr>
        <w:t>E. 8.4</w:t>
      </w:r>
    </w:p>
    <w:p>
      <w:r>
        <w:t>Ceux-ci sont en l'occurrence arrêtés à Fr. 400.-, sur la base du décompte de prestations de la mandataire, du 11 février 2008, qu'il y a lieu de modérer quelque peu, et en tenant compte également de ses interventions ultérieures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