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E-892/2011 vom 22. Oktober 2012</w:t>
      </w:r>
    </w:p>
    <w:p>
      <w:r>
        <w:t>Bundesverwaltungsgericht, 2012-10-22, FR</w:t>
      </w:r>
    </w:p>
    <w:p>
      <w:r>
        <w:rPr>
          <w:b/>
        </w:rPr>
        <w:t xml:space="preserve">Quelle: </w:t>
      </w:r>
      <w:r>
        <w:t>https://mcp.opencaselaw.ch/entscheid/bvger_E-892_2011</w:t>
      </w:r>
    </w:p>
    <w:p>
      <w:r>
        <w:t>FR: TAF E-892/2011 du 22 octobre 2012</w:t>
      </w:r>
    </w:p>
    <w:p>
      <w:r>
        <w:t>IT: TAF E-892/2011 del 22 ottobre 2012</w:t>
      </w:r>
    </w:p>
    <w:p>
      <w:pPr>
        <w:pStyle w:val="Heading2"/>
      </w:pPr>
      <w:r>
        <w:t>Regeste</w:t>
      </w:r>
    </w:p>
    <w:p>
      <w:r>
        <w:t>Asile (sans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concernant l'asile lesquelles n'entrent pas dans le champ d'exclusion de l'art. 32 LTAF peuvent être contestées devant le Tribunal conformément à l'art. 33 let. d LTAF (en vertu du renvoi figurant à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la forme (cf. art. 52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2010/57 consid. 2.3 et réf. cit. ; Jurisprudence et informations de la Commission suisse de recours en matière d'asile [JICRA] 2005 n° 21 consid. 6.1 p. 190 s., JICRA 1996 n° 28 consid. 3a p. 270, JICRA 1994 n° 5 consid. 3c p. 43 s.).</w:t>
      </w:r>
    </w:p>
    <w:p>
      <w:r>
        <w:rPr>
          <w:b/>
        </w:rPr>
        <w:t>E. 3.1</w:t>
      </w:r>
    </w:p>
    <w:p>
      <w:r>
        <w:t>En l'occurrence, il convient d'examiner la vraisemblance au sens de l'art. 7 LAsi des déclarations du recourant portant sur les motifs qui l'auraient amené à quitter la Syrie, le 25 décembre 2009.</w:t>
      </w:r>
    </w:p>
    <w:p>
      <w:r>
        <w:rPr>
          <w:b/>
        </w:rPr>
        <w:t>E. 3.2</w:t>
      </w:r>
    </w:p>
    <w:p>
      <w:r>
        <w:t>Son récit est, d'une manière générale, vague, lacunaire et évasif.</w:t>
      </w:r>
    </w:p>
    <w:p>
      <w:r>
        <w:rPr>
          <w:b/>
        </w:rPr>
        <w:t>E. 3.3</w:t>
      </w:r>
    </w:p>
    <w:p>
      <w:r>
        <w:t>En ce qui concerne la première détention de quatre jours en février 2009, il l'a rattachée à sa participation à une réunion du PYK. Ses déclarations manquent de substance au sujet de la réunion (absence de mention du thème de celle-ci, ainsi que des circonstances dans lesquelles il aurait appris la tenue de celle-ci et aurait été invité à y participer), de la dénonciation dont il aurait été victime, des autres personnes présentes à cette réunion qui auraient fait l'objet d'une arrestation, des circonstances dans lesquelles il aurait appris leur arrestation, et des raisons pour lesquelles il aurait pris part à cette seule et unique réunion alors qu'il aurait été un simple sympathisant du PYK. Au manque de consistance de son récit portant sur les événements ayant conduit à sa première détention s'ajoute l'incohérence de ses déclarations portant sur les circonstances de sa libération (selon les deux premières auditions, libération faute de preuves et, selon la troisième audition, libération suite au versement de pots-de-vin par son père). De plus, ses explications sur la raison pour laquelle il n'aurait pas été en mesure de décrire, au moins dans les grandes lignes, les séances de torture sont divergentes. Ainsi, lors de l'audition du 1er mars 2010, a-t-il affirmé qu'il ne se souvenait pas des sévices endurés parce que ceux-ci lui avaient été infligés alors qu'il était inconscient, tandis que, lors de la consultation du 2 novembre 2010, il a déclaré à ses médecins qu'il ne souhaitait pas en parler pour éviter d'être confronté à des souvenirs douloureux. Enfin, le constat médical de la compatibilité de sa cicatrice avec celle d'une brûlure ne suffit pas pour prouver, ni même pour rendre vraisemblable, que celle-ci est la résultante d'un acte de torture infligé durant une détention en février 2009 pour des motifs politiques.</w:t>
      </w:r>
    </w:p>
    <w:p>
      <w:r>
        <w:rPr>
          <w:b/>
        </w:rPr>
        <w:t>E. 3.4</w:t>
      </w:r>
    </w:p>
    <w:p>
      <w:r>
        <w:t>En ce qui concerne la seconde détention de huit jours en décembre 2009 le recourant l'a rattachée à la distribution de tracts. Ses déclarations manquent de substance au sujet des circonstances dans lesquelles il aurait commencé son activité bénévole de coursier (livraison de tracts à une tierce personne) pour le PYK et de la livraison dont il aurait été chargé le jour de son arrestation. Au manque de consistance de son récit portant sur sa seconde arrestation s'ajoute l'incohérence de ses déclarations portant sur les circonstances de sa libération (selon les deux premières auditions, libération suite au versement de pots-de-vin par son père et, selon la troisième audition, libération grâce à l'intervention d'une connaissance de son grand-père maternel).</w:t>
      </w:r>
    </w:p>
    <w:p>
      <w:r>
        <w:rPr>
          <w:b/>
        </w:rPr>
        <w:t>E. 3.5</w:t>
      </w:r>
    </w:p>
    <w:p>
      <w:r>
        <w:t>Enfin, le fait que le recourant n'a commencé ses activités politiques en Suisse que quinze mois après son arrivée et de surcroît après le prononcé de la décision attaquée, achève de convaincre le Tribunal que le recourant n'a pas rendu vraisemblables ses allégués relatifs à une activité déployée en Syrie pour le compte du PYK.</w:t>
      </w:r>
    </w:p>
    <w:p>
      <w:r>
        <w:rPr>
          <w:b/>
        </w:rPr>
        <w:t>E. 3.6</w:t>
      </w:r>
    </w:p>
    <w:p>
      <w:r>
        <w:t>Certes, le recourant a soutenu qu'un manque de précision ne pouvait pas lui être reproché, dès lors que l'interprète présent lors des deux premières auditions ne maîtrisait pas sa langue maternelle, le kurde kurmandji, mais uniquement le kurde sorani. Il a également fait valoir que les divergences portant sur les circonstances de ses deux libérations résultaient d'une erreur de traduction lors des deux premières auditions. Ces arguments ne sauraient toutefois être retenus. En effet, au terme de chacune des deux premières auditions en question, il a confirmé que le procès-verbal lui avait été traduit dans une langue qu'il comprenait et qu'il était conforme à ses déclarations et véridique; le deuxième procès-verbal lui a même été retraduit phrase par phrase après qu'il a été terminé. De plus, aucun problème concret lié à la barrière de la langue qui n'a pu être corrigé n'a été relevé durant les deux premières auditions (cf. pv du 1er mars 2010 rép. 24). Il ressort du procès-verbal de la deuxième que le recourant a compris les questions qui lui ont été posées par le collaborateur de l'ODM et traduites par l'interprète, qu'il a pu s'exprimer sur les événements qui l'auraient amené à quitter illégalement son pays et que le caractère vague et parfois même évasif de ses déclarations (cf. rép. 34, rép. 38, rép. 48 à 51, rép. 66, rép. 124 s.) n'est pas dû à une difficulté de compréhension entre lui, l'interprète et le collaborateur de l'ODM. La constance, lors de la deuxième audition, de ses déclarations sur les circonstances de chacune de ses deux libérations (cf. rép. 59, rép. 76 à 78, rép. 81, rép. 84, rép. 113, rép. 115), la constance de ses déclarations en la matière lors des deux premières auditions tenues à deux semaines d'intervalle ainsi que la mention de l'implication de son grand-père uniquement lors de la troisième, huit mois plus tard, permettent d'exclure que les divergences relevées entre les deux premières auditions et la troisième résultent d'erreurs d'interprétation.</w:t>
      </w:r>
    </w:p>
    <w:p>
      <w:r>
        <w:rPr>
          <w:b/>
        </w:rPr>
        <w:t>E. 3.7</w:t>
      </w:r>
    </w:p>
    <w:p>
      <w:r>
        <w:t>Au vu de ce qui précède, le recourant n'a rendu vraisemblable au sens de l'art. 7 LAsi ni les deux détentions alléguées ni les motifs politiques de celles-ci. Son allégué, selon lequel, la convocation au (...) 2010 par le Service de sécurité de l'Etat pour un entretien concernant des faux documents (dont l'existence a été révélée par le rapport d'enquête) était en réalité liée à ces détentions au poste de police de E._______ et aux motifs politiques de celles-ci n'est, par conséquent, pas non plus vraisemblable. Cet allégué repose d'ailleurs sur une pure conjecture, puisqu'il a dit ignorer non seulement l'existence de cette convocation, mais aussi les raisons pour lesquelles il a été convoqué pour un entretien plusieurs mois après son départ illégal de Syrie. Pour le surplus, cette convocation le (...) 2010 s'accorde mal avec le non-respect de la soi-disant injonction de se présenter au poste de police de E._______ en décembre 2009. Aussi, le recourant n'a pas rendu vraisemblables au sens de l'art. 7 LAsi les motifs qui l'auraient amené à quitter illégalement la Syrie, le 25 décembre 2009. C'est donc en vain qu'il a fait référence dans son recours à l'arrêt E-3448/2006 (cf. état de faits, let. G) en ayant implicitement sollicité l'application en sa faveur du principe de l'égalité de traitement, puisque, dans cet arrêt, le Tribunal avait admis l'exposition du requérant concerné à des préjudices antérieurs au départ pour des raisons politiques ou analogues prévues à l'art. 3 LAsi.</w:t>
      </w:r>
    </w:p>
    <w:p>
      <w:r>
        <w:rPr>
          <w:b/>
        </w:rPr>
        <w:t>E. 3.8</w:t>
      </w:r>
    </w:p>
    <w:p>
      <w:r>
        <w:t>Vu ce qui précède, le recourant ne remplit pas les conditions de reconnaissance de la qualité de réfugié au sens de l'art. 3 LAsi pour des motifs antérieurs à son départ de Syrie. Partant, conformément à l'art. 2 LAsi, l'asile ne saurait lui être accordé. Le fait qu'il ne s'est pas présenté, le (...) 2010, au Service de sécurité de l'Etat doit toutefois être pris en considération dans l'examen des motifs subjectifs postérieurs à son départ.</w:t>
      </w:r>
    </w:p>
    <w:p>
      <w:r>
        <w:rPr>
          <w:b/>
        </w:rPr>
        <w:t>E. 4.1</w:t>
      </w:r>
    </w:p>
    <w:p>
      <w:r>
        <w:t>Il y a donc lieu d'examiner encore si la crainte du recourant d'être exposé à de sérieux préjudices en cas de renvoi en Syrie pour des motifs subjectifs postérieurs à son départ est fondée au sens des art. 3 et 54 LAsi.</w:t>
      </w:r>
    </w:p>
    <w:p>
      <w:r>
        <w:rPr>
          <w:b/>
        </w:rPr>
        <w:t>E. 4.2</w:t>
      </w:r>
    </w:p>
    <w:p>
      <w:r>
        <w:t>Selon l'art. 54 LAsi intitulé "Motifs subjectifs survenus après la fuite", l'asile n'est pas accordé à la personne qui n'est devenue un réfugié au sens de l'art. 3 qu'en quittant son Etat d'origine ou de provenance ou en raison de son comportement ultérieur. 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("Republikflucht"), le dépôt d'une demande d'asile à l'étranger, lorsqu'ils fondent un risque de persécution future (cf. ATAF 2009/29 consid. 5.1 et réf. cit.). Ils doivent être distingués des motifs objectifs postérieurs à la fuite qui ne relèvent pas du comportement du requérant. En cas d'activités politiques en exil, la qualité de réfugié est reconnue si le requérant a rendu vraisemblable, au sens de l'art. 7 LAsi, que lesdites activités sont arrivées à la connaissance des autorités du pays d'origine et qu'elles entraîneraient son exposition à de sérieux préjudices au sens de l'art. 3 LAsi en cas de retour (cf. ATAF 2008/57 consid. 4.4 ; JICRA 1995 n° 9 consid. 8c p. 91 et réf. cit.). Les motifs subjectifs postérieurs à la fuite sont déterminants pour la reconnaissance de la qualité de réfugié au sens de l'art. 3 LAsi. Le législateur a en revanche clairement exclu qu'ils puissent conduire à l'octroi de l'asile indépendamment de la question de savoir si le comportement du requérant peut ou non être qualifié d'abusif. L'exécution du renvoi d'un requérant qui s'est vu reconnaître la qualité de réfugié sur la base de motifs subjectifs postérieurs à la fuite s'avère illicite au sens de l'art. 44 al. 2 LAsi et de l'art. 83 al. 3 de la loi fédérale du 16 décembre 2005 sur les étrangers (RS 142.20, LEtr). Enfin, la conséquence que le législateur a voulu attribuer aux motifs subjectifs intervenus après la fuite, à savoir l'exclusion de l'asile, interdit de les combiner avec des motifs antérieurs à la fuite, respectivement des motifs objectifs postérieurs à celle-ci, lorsque ceux-ci ne sont pas suffisants pour fonder la reconnaissance de la qualité de réfugié et conduire à l'octroi de l'asile (cf. ATAF 2009/28 consid. 7.1 ; JICRA 2000 n° 16 consid. 5a p. 141 s. et réf. cit., JICRA 1995 n° 7 consid. 8 p. 70 ).</w:t>
      </w:r>
    </w:p>
    <w:p>
      <w:r>
        <w:rPr>
          <w:b/>
        </w:rPr>
        <w:t>E. 4.3</w:t>
      </w:r>
    </w:p>
    <w:p>
      <w:r>
        <w:t>Comme le Tribunal a eu l'occasion de le relever maintes fois, une insurrection est en cours en Syrie depuis mars 2011. Sa répression semble avoir engendré plus de 30'000 morts (source : Observatoire syrien des droits de l'homme) et a conduit sur le chemin de l'exode plusieurs centaines de milliers personnes. Les affrontements entre d'une part l'Armée syrienne libre (ASL) et d'autre part les forces de l'armée et de la police demeurées fidèles au régime du président Bachar el-Assad ainsi que les escadrons de la mort (milices "chabiha"), se sont intensifiés depuis l'attentat du 18 juillet 2012, lequel a coûté la vie au ministre de la défense et à trois autres hauts responsables de la sécurité du pays. Des villes et des quartiers tenus par les rebelles sont soumis à des bombardements systématiques, les objectifs civils n'étant pas épargnés. Pour leur part, les services de renseignements syriens ne se contentent pas d'agir à l'intérieur du pays, mais surveillent également les activités d'opposition déployées à l'étranger. Cela ne signifie pas pour autant que tous les ressortissants syriens qui se trouvent à l'étranger risquent de sérieux préjudices en cas de retour. L'intérêt des représentants des autorités syriennes à l'étranger (qui n'ont pas encore fait défection) se concentre pour l'essentiel sur les personnes possédant un profil politique particulier, qui agissent au-delà du cadre habituel d'opposition de masse et qui occupent des fonctions ou déploient des activités d'une nature telle (le critère de dangerosité se révélant déterminant) qu'elles seraient susceptibles de représenter une menace sérieuse et concrète pour le gouvernement (cf. arrêts du Tribunal administratif fédéral E-6703/2010 du 11 juin 2012 consid. 5.3.3, arrêt E-2014/2010 du 26 avril 2012 consid. 5.1, D-7310/2010 du 9 mars 2012 consid. 5.3.2 à 5.3.4, D-2270/2009 du 26 janvier 2012 consid. 6.5, D-2246/2010 du 11 mai 2010 consid. 5.3). Toutefois, dans la mesure où le régime syrien lutte désormais pour sa survie, et dans un contexte également caractérisé par des interventions diverses d'Etats étrangers, d'organisations gouvernementales internationales et de particuliers étrangers (islamistes radicaux ayant rejoint des troupes rebelles se réclamant du djihad), le risque s'est accru que des requérants d'asile déboutés soient interrogés à leur retour sur leurs contacts éventuels avec des activistes de l'opposition en exil et sur les informations qu'ils seraient supposés détenir au sujet des activités de propagande et de recrutement de ces opposants. Ce risque doit être abordé avec sérieux, vu la pratique répandue de la torture dans les postes de police et les centres de détention des services de renseignements. Aussi, les exigences pour admettre le caractère objectivement fondé de la crainte d'une persécution au sens de l'art. 3 LAsi de la part d'activistes politiques en exil doivent désormais être plus basses (cf. arrêt E-483/2009 du 29 août 2012 consid. 6.4.5 et réf. cit.), le cas échéant même pour des personnes kurdes provenant du nord-est de la Syrie, région qui ne figure pourtant pas prioritairement dans le collimateur des autorités syriennes.</w:t>
      </w:r>
    </w:p>
    <w:p>
      <w:r>
        <w:rPr>
          <w:b/>
        </w:rPr>
        <w:t>E. 4.4</w:t>
      </w:r>
    </w:p>
    <w:p>
      <w:r>
        <w:t>En l'espèce, il est établi à satisfaction de droit que le recourant est un Kurde ajnabi, qu'il a quitté la Syrie illégalement et qu'il a été convoqué par le Service de sécurité de l'Etat le (...) 2010, postérieurement au dépôt de sa demande d'asile en Suisse, convocation à laquelle il n'a donné aucune suite. Dans les circonstances particulières de l'espèce, quand bien même il n'a exercé qu'un rôle de second plan dans les manifestations en Suisse d'opposants en exil, il n'est pas exclu qu'il a été repéré par les services de renseignements syriens qui étaient parallèlement à sa recherche. En tout état de cause, il y a lieu d'admettre qu'à son retour, il devra rendre des comptes aux services de sécurité de l'Etat sur les raisons pour lesquelles il n'a pas répondu à leur convocation. Il sera donc vraisemblablement également interrogé, si ce n'est sur ses propres activités politiques en exil, sur ses connaissances (supposées) au sujet de la communauté syrienne en exil en Suisse, respectivement sur ses éventuels contacts avec des insurgés. Eu égard aux méthodes violentes pratiquées couramment par les forces de sécurité syriennes, il peut légitimement craindre d'être exposé à de sérieux préjudices au sens de l'art. 3 LAsi en cas de retour en Syrie.</w:t>
      </w:r>
    </w:p>
    <w:p>
      <w:r>
        <w:rPr>
          <w:b/>
        </w:rPr>
        <w:t>E. 4.5</w:t>
      </w:r>
    </w:p>
    <w:p>
      <w:r>
        <w:t>Au vu de ce qui précède, la crainte du recourant d'être exposé à de sérieux préjudices en cas de renvoi en Syrie pour des motifs subjectifs postérieurs à son départ de ce pays est fondée au sens de l'art. 3 LAsi. Il y a par conséquent lieu de lui reconnaître la qualité de réfugié au sens de cette disposition légale et de lui refuser l'asile en Suisse en application de l'art. 54 LAsi.</w:t>
      </w:r>
    </w:p>
    <w:p>
      <w:r>
        <w:rPr>
          <w:b/>
        </w:rPr>
        <w:t>E. 5</w:t>
      </w:r>
    </w:p>
    <w:p>
      <w:r>
        <w:t>Vu les considérants qui précèdent, la conclusion tendant à la reconnaissance de la qualité de réfugié doit être admise et celle portant sur l'octroi de l'asile rejetée.</w:t>
      </w:r>
    </w:p>
    <w:p>
      <w:r>
        <w:rPr>
          <w:b/>
        </w:rPr>
        <w:t>E. 6</w:t>
      </w:r>
    </w:p>
    <w:p>
      <w:r>
        <w:t>Au vu de l'issue de la cause, il y aurait lieu de mettre la moitié des frais de procédure à la charge du recourant, conformément à l'art. 63 al. 1 PA et aux art. 2 et 3 let. b du règlement du 21 février 2008 concernant les frais, dépens et indemnités fixés par le Tribunal administratif fédéral (FITAF, RS 173.320.2). Toutefois, la demande d'assistance judiciaire partielle devant être admise, il est renoncé à la perception de frais de procédure.</w:t>
      </w:r>
    </w:p>
    <w:p>
      <w:r>
        <w:rPr>
          <w:b/>
        </w:rPr>
        <w:t>E. 7</w:t>
      </w:r>
    </w:p>
    <w:p>
      <w:r>
        <w:t>Conformément à l'art. 64 al. 1 PA et à l'art. 7 al. 1 et al. 4 (appliqué a contrario) du règlement du 21 février 2008 concernant les frais, dépens et indemnités fixés par le Tribunal administratif fédéral (FITAF, RS 173.320.2), la partie qui obtient gain de cause a droit à des dépens pour les frais nécessaires et relativement élevés causés par le litige. Lorsqu'elle ne fait pas parvenir un décompte de prestations avant le prononcé, l'autorité de recours fixe les dépens sur la base du dossier (cf. art. 14 al. 2 FITAF). En l'espèce, le recourant a eu partiellement gain de cause. Il y a dès lors lieu d'allouer des dépens réduits de moitié. Ceux-ci sont fixés sur la base du décompte de prestations du 1er octobre 2012, à 847,95 francs (TVA comprise).(dispositif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