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E-889/2008 vom 17. März 2008</w:t>
      </w:r>
    </w:p>
    <w:p>
      <w:r>
        <w:t>Bundesverwaltungsgericht, 2008-03-17, DE</w:t>
      </w:r>
    </w:p>
    <w:p>
      <w:r>
        <w:rPr>
          <w:b/>
        </w:rPr>
        <w:t xml:space="preserve">Quelle: </w:t>
      </w:r>
      <w:r>
        <w:t>https://mcp.opencaselaw.ch/entscheid/bvger_E-889_2008</w:t>
      </w:r>
    </w:p>
    <w:p>
      <w:r>
        <w:t>FR: TAF E-889/2008 du 17 mars 2008</w:t>
      </w:r>
    </w:p>
    <w:p>
      <w:r>
        <w:t>IT: TAF E-889/2008 del 17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die Unglaubhaftigkeit der Vorbringen der Beschwerdeführerin im Wesentlichen mit den Ergebnissen der Botschaftsabklärungen. Die Beschwerdeführerin habe von ihrem Recht, sich zu diesen zu äussern, keinen Gebrauch gemacht, indessen rüge sie, ihr sei kein rechtliches Gehör gewährt worden.</w:t>
      </w:r>
    </w:p>
    <w:p>
      <w:r>
        <w:rPr>
          <w:b/>
        </w:rPr>
        <w:t>E. 4.2</w:t>
      </w:r>
    </w:p>
    <w:p>
      <w:r>
        <w:t>Für das Gericht steht fest, dass die Vorinstanz den Anspruch der Beschwerdeführerin auf Akteneinsicht und auf rechtliches Gehör ver-letzt hat. Der Anspruch auf Akteneinsicht ist für das Asylverfahren bundesrechtlich in Art. 26 ff. VwVG geregelt. Zudem sind gewisse Mindestrechte Ausfluss des in Art. 29 Abs. 2 der Bundesverfassung der Schweizeri-schen Eidgenossenschaft vom 18. April 1999 (BV, SR 101) garantier-ten Anspruchs auf rechtliches Gehör. Gemäss Art. 26 Abs. 1 Bst. b VwVG hat die Partei oder ihre Vertretung das Recht, in alle als Be-weismittel dienenden Aktenstücke Einsicht zu erhalten. Die Behörde darf die Einsichtnahme in solche Aktenstücke nur dann verweigern, wenn überwiegende öffentliche beziehungsweise private Interessen oder ein laufendes Untersuchungsverfahren die Geheimhaltung erfor-dern (Art. 27 VwVG). Wird einer Partei die Akteneinsicht verweigert, so darf die Behörde auf das entsprechende Dokument nur dann zum Nachteil der Partei abstellen, wenn ihr der wesentliche Inhalt bekannt gegeben wird und sie die Gelegenheit erhält, sich zu äussern und Ge-genbeweismittel zu bezeichnen (Art. 28 VwVG).</w:t>
      </w:r>
    </w:p>
    <w:p>
      <w:r>
        <w:rPr>
          <w:b/>
        </w:rPr>
        <w:t>E. 4.3</w:t>
      </w:r>
    </w:p>
    <w:p>
      <w:r>
        <w:t>Die Abklärungsergebnisse der Schweizerischen Vertretung - und gemäss Urteil der vormaligen Schweizerischen Asylrekurskommission (Entscheidungen und Mitteilungen [EMARK] 1994 Nr. 1 E. 3c) auch der Fragenkatalog der Vorinstanz - unterliegen als entscheidwesentliche Aktenstücke dem Grundsatz des Einsichtsrechtes. Indem die Be-schwerdeführerin keine Kenntnis vom wesentlichen Inhalt der ent-scheidrelevanten Botschaftsabklärungen erhalten hat und keine Gele-genheit hatte, sich zu diesen zu äussern und Gegenbeweismittel zu bezeichnen, sind die in Art. 28 VwVG aufgestellten Anforderungen verletzt.</w:t>
      </w:r>
    </w:p>
    <w:p>
      <w:r>
        <w:rPr>
          <w:b/>
        </w:rPr>
        <w:t>E. 4.4</w:t>
      </w:r>
    </w:p>
    <w:p>
      <w:r>
        <w:t>Zwar hat das BFM sein Schreiben vom 7. Dezember 2007, in welchem es die wesentlichen Abklärungen des Botschaftsberichtes und seine diesbezüglichen Fragen an die Botschaft wiedergab, an G._______ gesandt in der Annahme, es handle sich um den Rechtsvertreter der Beschwerdeführerin. Dieser war aber lediglich vom 23. August 2005 bis zum 31. März 2006 ihr Rechtsbeistand; danach erloschen die vertraglichen Vereinbarungen zwischen ihm und dem Kanton. Die Rechtsbeistandschaft wurde gemäss Art. 368 Ziff. 1 des Schweizerischen Zivilgesetzbuchs vom 10. Dezember 1907 (ZGB, SR 210) errichtet, weil es sich bei der Beschwerdeführerin um eine unmündige Person, nicht unter elterlicher Sorge stehend, handelte. Nach Auskunft des vormaligen Rechtsbeistandes habe kein Mandatsverhältnis zwischen ihm und der Beschwerdeführerin bestanden. Auch wenn das BFM keine Kenntnis von der Aufhebung der Rechtsbei-standschaft beziehungsweise Vormundschaft gehabt haben sollte, er-gibt sich bereits aus dem Umstand, dass die Beschwerdeführerin am (Datum) 18 Jahre alt und damit mündig geworden ist, dass die Voraussetzungen für eine einzig auf dem Umstand der Unmündigkeit errichtete Beistandschaft beziehungsweise Vormundschaftsschaft (s. Art. 368 ZGB) nicht mehr vorlagen, da mit der Mündigkeit die einzig aufgrund der Unmündigkeit errichtete Beistandschaft beziehungsweise Vormundschaft über eine unmündige Person endet (s. Art. 367 und Art. 431 ZGB). Das BFM hätte demnach, als es mit Schreiben vom 7. Dezember 2007 das rechtliche Gehör zu den Botschaftsabklärungen gewähren wollte, anhand des ihm bekannten Geburtsdatums sich er-kundigen müssen, ob und durch wen die nunmehr volljährige Beschwerdeführerin vertreten war. Mangels anderer Anhaltspunkte ist den Angaben von G._______ und der Beschwerdeführerin Glauben zu schenken, dass die Beschwerdeführerin von ihm keine Kenntnis von den Abklärungen erhalten hat und sich deshalb nicht äussern konnte. Insgesamt ist festzustellen, dass es der Beschwerdeführerin nicht möglich war, zu den entscheidwesentlichen Ergebnissen Stellung zu nehmen und Gegenbeweismittel einzureichen.</w:t>
      </w:r>
    </w:p>
    <w:p>
      <w:r>
        <w:rPr>
          <w:b/>
        </w:rPr>
        <w:t>E. 4.5</w:t>
      </w:r>
    </w:p>
    <w:p>
      <w:r>
        <w:t>Die Beschwerdeinstanz hat die festgestellten Verfahrensmängel von Amtes wegen als Kassationsgrund zu berücksichtigen, eine Heilung der Verfahrensmängel auf Beschwerdeebene ist nicht möglich. Nach dem vorerwähnten Grundsatzentscheid der Schweizerischen Asylrekurskommission ist der Anspruch auf rechtliches Gehör for- meller Natur, weshalb seine Verletzung grundsätzlich die Aufhebung der angefochtenen Verfügung zur Folge hat, unabhängig davon, ob die Verletzung einen Einfluss auf das Ergebnis hatte (EMARK 1994 Nr. 1 E. 6). Da die Beschwerdeführerin von den Abklärungsergebnissen kei-nerlei Kenntnis hatte und es ihr deshalb auch nicht möglich war, ge-zielt dazu Stellung zu nehmen, handelt es sich - auch wenn ein Ver-sehen des BFM vorliegen mag - um eine schwerwiegende Verletzung des Anspruchs auf rechtliches Gehör. Hinzuweisen ist auch darauf, dass der Betroffenen durch eine Heilung auf Beschwerdeebene eine Instanz verloren gehen könnte.</w:t>
      </w:r>
    </w:p>
    <w:p>
      <w:r>
        <w:rPr>
          <w:b/>
        </w:rPr>
        <w:t>E. 5</w:t>
      </w:r>
    </w:p>
    <w:p>
      <w:r>
        <w:t>Die Beschwerde ist deshalb gutzuheissen, die angefochtene Verfü-gung aufzuheben und die Sache zur Neubeurteilung im Sinne der Er-wägungen an die Vorinstanz zurückzuweisen. Über die weitergehen-den Anträge der Beschwerdeführerein ist bei dieser Sachlage nicht zu befinden.</w:t>
      </w:r>
    </w:p>
    <w:p>
      <w:r>
        <w:rPr>
          <w:b/>
        </w:rPr>
        <w:t>E. 6</w:t>
      </w:r>
    </w:p>
    <w:p>
      <w:r>
        <w:t>Bei diesem Ausgang des Verfahrens sind keine Kosten zu erheben (Art. 63 Abs. 1 VwVG). Das Gesuch um unentgeltliche Prozessführung gemäss Art. 65 Abs. 1 VwVG wird gegenstandslos, so dass darüber nicht zu befinden ist.</w:t>
      </w:r>
    </w:p>
    <w:p>
      <w:r>
        <w:rPr>
          <w:b/>
        </w:rPr>
        <w:t>E. 7</w:t>
      </w:r>
    </w:p>
    <w:p>
      <w:r>
        <w:t>Aufgrund der Akten sind der Beschwerdeführerin, die nicht vertreten ist, offensichtlich keine verhältnismässig hohen Kosten im Sinne von Art. 64 Abs. 1 VwVG erwachsen,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