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E-8875/2010 vom 10. Februar 2011</w:t>
      </w:r>
    </w:p>
    <w:p>
      <w:r>
        <w:t>Bundesverwaltungsgericht, 2011-02-10, DE</w:t>
      </w:r>
    </w:p>
    <w:p>
      <w:r>
        <w:rPr>
          <w:b/>
        </w:rPr>
        <w:t xml:space="preserve">Quelle: </w:t>
      </w:r>
      <w:r>
        <w:t>https://mcp.opencaselaw.ch/entscheid/bvger_E-8875_2010</w:t>
      </w:r>
    </w:p>
    <w:p>
      <w:r>
        <w:t>FR: TAF E-8875/2010 du 10 février 2011</w:t>
      </w:r>
    </w:p>
    <w:p>
      <w:r>
        <w:t>IT: TAF E-8875/2010 del 10 febbraio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 vorbehältlich der nachfolgenden Erwägungen unter Ziffer 5.1.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5.1</w:t>
      </w:r>
    </w:p>
    <w:p>
      <w:r>
        <w:t>Nachdem die Vorinstanz den Anspruch der Beschwerdeführerin auf Behandlung des Wiedererwägungsgesuchs nicht in Abrede gestellt hat und auf das Wiedererwägungsgesuch eingetreten ist, hat das Bundesverwaltungsgericht zu prüfen, ob im vorliegenden Fall eine wiedererwägungsrechtlich relevante Veränderung des rechtserheblichen Sachverhalts vorliegt und die Vorinstanz den Vollzug der Wegweisung zu Recht als durchführbar erachtet und das Gesuch abgewiesen hat. Auf die Rechtsbegehren in der Beschwerde betreffend die Anerkennung als Flüchtling und Gewährung des Asyls ist nicht einzutreten, da sie nicht Gegenstand des Wiedererwägungsgesuchs bildeten und in Rechtskraft erwachsen sind.</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6.3</w:t>
      </w:r>
    </w:p>
    <w:p>
      <w:r>
        <w:t>Der Vollzug ist nicht möglich, wenn die Ausländerin oder der Ausländer weder in den Heimat- oder in den Herkunftsstaat noch in einen Drittstaat ausreisen oder dorthin gebracht werden kann (Art. 83 Abs. 2 AuG).</w:t>
      </w:r>
    </w:p>
    <w:p>
      <w:r>
        <w:rPr>
          <w:b/>
        </w:rPr>
        <w:t>E. 7.1</w:t>
      </w:r>
    </w:p>
    <w:p>
      <w:r>
        <w:t>Nach Durchsicht der Akten und gemäss Erklärung zu den Laborresultaten beziehungsweise der Erkrankung der Beschwerdeführerin führte der zuständige Arzt Dr. I._______, (...), am 29. Dezember 2010 aus, dass die Beschwerdeführerin nicht an AIDS erkrankt, sondern lediglich Trägerin des HIV-Virus sei. Im Falle eines Ausbruchs der Krankheit (AIDS) würde man von Stadien sprechen, was hier nicht der Fall sei. Vorliegend sei jedoch eine antivirale Therapie angezeigt.</w:t>
      </w:r>
    </w:p>
    <w:p>
      <w:r>
        <w:rPr>
          <w:b/>
        </w:rPr>
        <w:t>E. 7.2</w:t>
      </w:r>
    </w:p>
    <w:p>
      <w:r>
        <w:t>Entgegen der in der Beschwerde vertretenen Auffassung, wonach die Beschwerdeführerin bereits an AIDS erkrankt sei, steht demnach fest, dass bei ihr diese Krankheit noch nicht ausgebrochen ist und offensichtlich mit einer antiretroviralen Therapie begonnen wurde, damit sie erst gar nicht ausbricht. Somit erweist sich der Umstand, dass die Beschwerdeführerin Trägerin des HIV-Virus ist, in wiedererwägungsrechtlicher Hinsicht als nicht relevant.</w:t>
      </w:r>
    </w:p>
    <w:p>
      <w:r>
        <w:rPr>
          <w:b/>
        </w:rPr>
        <w:t>E. 7.3</w:t>
      </w:r>
    </w:p>
    <w:p>
      <w:r>
        <w:t>In diesem Zusammenhang ist festzuhalten, dass der Europäische Gerichtshof für Menschenrechte (EGMR) in seinem Urteil vom 2. Mai 1997 i.S. D. gegen Grossbritannien festgestellt hat, dass die Ausweisung einer in der terminalen Phase an AIDS erkrankten Person unter ganz aussergewöhnlichen Umständen eine Verletzung von Art. 3 EMRK darstellen könne. Hingegen hat der EGMR schon mehrfach festgehalten, dass die Wegweisung von HIV infizierten Personen, die noch nicht an AIDS erkrankt sind, Art. 3 EMRK nicht verletzt (vgl. Entscheid vom 27. Mai 2008 i.S. N. c .Royaume-Uni; vgl. dazu BVGE 2009/2 E. 9.1.3 S. 19 f.). Gemäss Bericht vom 9. Dezember 2010 und der Aussage des behandelnden Arztes vom 29. Dezember 2010 ist bei der Beschwerdeführerin AIDS noch nicht ausgebrochen, womit feststeht, dass sie zurzeit klarerweise nicht in der terminalen Phase an AIDS erkrankt ist, weshalb der Vollzug der Wegweisung unter diesem Aspekt keine Verletzung von Art. 3 EMRK darstellt und gemäss Art. 83 Abs. 3 AuG somit zulässig ist (vgl. dazu auch BVGE 2009/2).</w:t>
      </w:r>
    </w:p>
    <w:p>
      <w:r>
        <w:rPr>
          <w:b/>
        </w:rPr>
        <w:t>E. 7.4</w:t>
      </w:r>
    </w:p>
    <w:p>
      <w:r>
        <w:t>Zu prüfen bleibt damit, ob der Vollzug der Wegweisung mit Blick auf den heutigen Gesundheitszustand der Beschwerdeführerin als zumutbar im Sinne von Art. 83 Abs. 4 AuG erachtet werden kann.</w:t>
      </w:r>
    </w:p>
    <w:p>
      <w:r>
        <w:rPr>
          <w:b/>
        </w:rPr>
        <w:t>E. 7.4.1</w:t>
      </w:r>
    </w:p>
    <w:p>
      <w:r>
        <w:t>In der Beschwerde wird eingewendet, eine adäquate Behandlung der gesundheitlichen Probleme der Beschwerdeführerin wäre in Kamerun insbesondere auch aus finanziellen Gründen kaum möglich. Zu diesem Punkt ist Folgendes festzustellen: Die gegen die HIV-Infektion eingesetzte antiretrovirale Therapie sowie die Behandlung von mit AIDS verbundenen opportunistischen Krankheiten ist in Kamerun seit dem Jahr 2007 landesweit kostenlos und in öffentlichen und akkreditierten privaten Krankenhäusern erhältlich und wird überdies auch von kirchlichen Anbietern zur Verfügung gestellt. (Bezüglich weiterer Ausführungen zu den Behandlungsmöglichkeiten in Kamerun ist auf die zutreffenden Ausführungen im Wiedererwägungsentscheid vom 29. Dezember 2010 hinzuweisen). Für die Kosten der ebenfalls regelmässig benötigten Labortests müsste die Beschwerdeführerin dagegen grundsätzlich selber aufkommen. Aufgrund der Aktenlage ist entgegen der in der Beschwerde geäusserten Auffassung davon auszugehen, dass es ihr gelingen sollte, die dafür notwendigen finanziellen Mittel aufzutreiben. Zunächst ist festzuhalten, dass es ihr grundsätzlich durchaus zuzumuten ist, bei einer Rückkehr ins Heimatland erneut einer Erwerbstätigkeit in ihrem Beruf als (...) nachzugehen. Ihre HIV-Infektion behindert sie im heutigen Zeitpunkt im Alltag nicht. Insofern die Beschwerdeführerin in ihrer Beschwerde ihre Bedrohung durch E._______ und die Familie von F._______ erwähnt, ist an dieser Stelle darauf hinzuweisen, dass bereits im ordentlichen Asylverfahren rechtskräftig festgestellt worden war, dass die vorgebrachten Fluchtgründe unglaubhaft sind, und dies im vorliegenden Wiedererwägungsverfahren nicht mehr Thema bildet (vgl. Ziffer 5.1.). Weiter ist festzustellen, dass die Beschwerdeführerin in ihrer Heimat über ein familiäres Beziehungsnetz verfügt, auf welches sie bei Bedarf zurückgreifen kann. Konkrete Hinweise, wonach die Eltern die Beschwerdeführerin verstossen würden, sind den Akten nicht zu entnehmen. Daher ist grundsätzlich davon auszugehen, dass die Beschwerdeführerin seitens ihrer Familie eine gewisse Unterstützung erwarten kann. Unter Umständen könnte die Beschwerdeführerin im Weiteren auch ihre Freundin aus Frankreich um Beistand bitten, welche ihr bereits behilflich war (vgl. A9, S. 11). Bei dieser Sachlage ist die Rückkehr der Beschwerdeführerin auch unter medizinischen Gesichtspunkten als zumutbar zu bezeichnen (vgl. dazu auch BVGE 2009/2 E. 9.3.2. mit Hinweis auf EMARK 2003 Nr. 24 E. 5a und b).</w:t>
      </w:r>
    </w:p>
    <w:p>
      <w:r>
        <w:rPr>
          <w:b/>
        </w:rPr>
        <w:t>E. 8</w:t>
      </w:r>
    </w:p>
    <w:p>
      <w:r>
        <w:t>Im Zeitpunkt der Beschwerdeeinreichung war die Beschwerdeführerin in der (...) Woche schwanger. Betreffend das Kind wird in der Rechtsmitteleingabe ausgeführt, es könnte sich auch infizieren. Hierzu ist festzuhalten, dass bei einer allfälligen HIV-Infizierung des Kindes, diesem in Kamerun dieselben Behandlungsmöglichkeiten wie seiner Mutter offen stehen. Insoweit kann daher betreffend die Finanzierbarkeit einer allfälligen Therapie, vollumfänglich auf die vorstehenden Erwägungen verwiesen werden. Entsprechend steht der Beschwerdeführerin bei Bedarf auch offen, ein Gesuch um Rückkehrhilfe für sie und ihr Kind zu stellen. Im Übrigen geht aus den Arztberichten vom 7. und 9. Dezember 2010 nicht hervor, dass die Beschwerdeführerin nicht reisefähig wäre. Andere Gründe, welche den Wegweisungsvollzug verunmöglichen würden sind ebenfalls aus den Akten nicht ersichtlich. Zudem ist die Beschwerdeführerin im Besitze eines Reisedokuments, weshalb der Vollzug der Wegweisung der Beschwerdeführerin nach Kamerun auch als möglich im Sinne von Art. 83 Abs. 2 AuG zu bezeichnen ist.</w:t>
      </w:r>
    </w:p>
    <w:p>
      <w:r>
        <w:rPr>
          <w:b/>
        </w:rPr>
        <w:t>E. 8.1</w:t>
      </w:r>
    </w:p>
    <w:p>
      <w:r>
        <w:t>Zusammenfassend ist festzustellen, dass es der Beschwerdeführerin nicht gelungen ist, eine wiedererwägungsrechtlich relevante Veränderung der Sachlage darzulegen, welche es rechtfertigen würde, die rechtskräftige vorinstanzliche Verfügung vom 22. November 2010 in Wiedererwägung zu ziehen. Die Vorinstanz hat das Wiedererwägungsgesuch daher zu Recht abgewiesen.</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10</w:t>
      </w:r>
    </w:p>
    <w:p>
      <w:r>
        <w:t>Mit der Abweisung der Beschwerde sind die am 31. Dezember 2010 angeordnete vorsorgliche Massnahme (Aussetzen des Wegweisungsvollzugs) und der gestellte Verfahrensantrag (Erteilung der aufschiebenden Wirkung der Beschwerde) hinfällig geworden. Ebenfalls wird das Gesuch um Verzicht auf die Erhebung eines Kostenvorschusses gegenstandslos.</w:t>
      </w:r>
    </w:p>
    <w:p>
      <w:r>
        <w:rPr>
          <w:b/>
        </w:rPr>
        <w:t>E. 11</w:t>
      </w:r>
    </w:p>
    <w:p>
      <w:r>
        <w:t>Bei diesem Ausgang des Verfahrens wären dessen Kosten der Beschwerdeführerin aufzuerlegen (Art. 63 Abs. 1 VwVG). Aufgrund der besonderen Situation und da sich die Beschwerdeführerin in Ausschaffungshaft befindet, ist aus verfahrensökonomischen Gründen auf die Erhebung von Verfahrenskosten zu verzichten, womit das Gesuch um Gewährung der unentgeltlichen Rechtspflege im Sinne von Art. 65 Abs. 1 VwVG gegenstandslos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