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E-8856/2010 vom 7. Januar 2011</w:t>
      </w:r>
    </w:p>
    <w:p>
      <w:r>
        <w:t>Bundesverwaltungsgericht, 2011-01-07, DE</w:t>
      </w:r>
    </w:p>
    <w:p>
      <w:r>
        <w:rPr>
          <w:b/>
        </w:rPr>
        <w:t xml:space="preserve">Quelle: </w:t>
      </w:r>
      <w:r>
        <w:t>https://mcp.opencaselaw.ch/entscheid/bvger_E-8856_2010</w:t>
      </w:r>
    </w:p>
    <w:p>
      <w:r>
        <w:t>FR: TAF E-8856/2010 du 7 janvier 2011</w:t>
      </w:r>
    </w:p>
    <w:p>
      <w:r>
        <w:t>IT: TAF E-8856/2010 del 7 gennaio 2011</w:t>
      </w:r>
    </w:p>
    <w:p>
      <w:pPr>
        <w:pStyle w:val="Heading2"/>
      </w:pPr>
      <w:r>
        <w:t>Regeste</w:t>
      </w:r>
    </w:p>
    <w:p>
      <w:r>
        <w:t>Nichteintreten auf Asylgesuch und Wegweisung</w:t>
      </w:r>
    </w:p>
    <w:p>
      <w:pPr>
        <w:pStyle w:val="Heading2"/>
      </w:pPr>
      <w:r>
        <w:t>Erwägungen</w:t>
      </w:r>
    </w:p>
    <w:p>
      <w:r>
        <w:rPr>
          <w:b/>
        </w:rPr>
        <w:t>E. 1</w:t>
      </w:r>
    </w:p>
    <w:p>
      <w:r>
        <w:t>Die Beschwerde wird im Sinne der Erwägungen gutgeheissen.</w:t>
      </w:r>
    </w:p>
    <w:p>
      <w:r>
        <w:rPr>
          <w:b/>
        </w:rPr>
        <w:t>E. 2</w:t>
      </w:r>
    </w:p>
    <w:p>
      <w:r>
        <w:t>Die Verfügung vom 23. Dezember 2010 wird aufgehoben. Die Sache wird zur Neubeurteilung als Gesuch um Einbezug in die Flüchtlingseigenschaft der Mutter des Beschwerdeführers und in das ihr gewährte Asyl an das BFM zurückgewiesen.</w:t>
      </w:r>
    </w:p>
    <w:p>
      <w:r>
        <w:rPr>
          <w:b/>
        </w:rPr>
        <w:t>E. 3</w:t>
      </w:r>
    </w:p>
    <w:p>
      <w:r>
        <w:t>Es werden keine Verfahrenskosten auferlegt.</w:t>
      </w:r>
    </w:p>
    <w:p>
      <w:r>
        <w:rPr>
          <w:b/>
        </w:rPr>
        <w:t>E. 4</w:t>
      </w:r>
    </w:p>
    <w:p>
      <w:r>
        <w:t>Das BFM hat dem Beschwerdeführer für das Rechtsmittelverfahren eine Parteientschädigung von Fr. 200.- zu entrichten.</w:t>
      </w:r>
    </w:p>
    <w:p>
      <w:r>
        <w:rPr>
          <w:b/>
        </w:rPr>
        <w:t>E. 5</w:t>
      </w:r>
    </w:p>
    <w:p>
      <w:r>
        <w:t>Dieses Urteil geht an den Beschwerdeführer, das BFM und die zu-ständige kantonale Behörde. Der Einzelrichter: Der Gerichtsschreiber: Bruno Huber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