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E-8832/2010 vom 4. Februar 2011</w:t>
      </w:r>
    </w:p>
    <w:p>
      <w:r>
        <w:t>Bundesverwaltungsgericht, 2011-02-04, DE</w:t>
      </w:r>
    </w:p>
    <w:p>
      <w:r>
        <w:rPr>
          <w:b/>
        </w:rPr>
        <w:t xml:space="preserve">Quelle: </w:t>
      </w:r>
      <w:r>
        <w:t>https://mcp.opencaselaw.ch/entscheid/bvger_E-8832_2010</w:t>
      </w:r>
    </w:p>
    <w:p>
      <w:r>
        <w:t>FR: TAF E-8832/2010 du 4 février 2011</w:t>
      </w:r>
    </w:p>
    <w:p>
      <w:r>
        <w:t>IT: TAF E-8832/2010 del 4 febbraio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BFM vom 11. November 2010 wird aufgehoben und die Vorinstanz angewiesen, im Sinne der Erwägungen den rechtserhebli­chen Sachverhalt vollständig festzustellen und in der Sache neu zu entscheiden.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Dieses Urteil geht an den Beschwerdeführer, das BFM und die Schweizeri­sche Botschaft in Bogotá. Die Einzelrichterin: Die Gerichtsschreiberin: Christa Luterbacher Natasa Stankovic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