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E-882/2017 vom 2. Mai 2019</w:t>
      </w:r>
    </w:p>
    <w:p>
      <w:r>
        <w:t>Bundesverwaltungsgericht, 2019-05-02, DE</w:t>
      </w:r>
    </w:p>
    <w:p>
      <w:r>
        <w:rPr>
          <w:b/>
        </w:rPr>
        <w:t xml:space="preserve">Quelle: </w:t>
      </w:r>
      <w:r>
        <w:t>https://mcp.opencaselaw.ch/entscheid/bvger_E-882_2017</w:t>
      </w:r>
    </w:p>
    <w:p>
      <w:r>
        <w:t>FR: TAF E-882/2017 du 2 mai 2019</w:t>
      </w:r>
    </w:p>
    <w:p>
      <w:r>
        <w:t>IT: TAF E-882/2017 del 2 maggio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3.3</w:t>
      </w:r>
    </w:p>
    <w:p>
      <w:r>
        <w:t>Mit Zwischenverfügung vom 25. April 2017 wurde der Beschwerdeführerin die unentgeltliche Rechtspflege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wie vorliegend als offensichtlich unbegründet abgewiesen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bewirkenden; den frauenspezifischen Fluchtgründen ist Rechnung zu tragen (vgl. Art. 3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4.4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5</w:t>
      </w:r>
    </w:p>
    <w:p>
      <w:r>
        <w:t>Die Vorinstanz kommt in der angefochtenen Verfügung zum Schluss, die Vorbringen der Beschwerdeführerin seien unglaubhaft und nicht hinreichend begründet. Die Beschwerdeführerin habe ihre Fluchtgründe in der Befragung zur Person und der Anhörung unterschiedlich dargestellt. Namentlich habe sie in der Befragung zur Person ausgeführt, ausschliesslich einmal im Jahr (...) aufgesucht worden zu sein. Anlässlich der Anhörung habe sie indessen ausgeführt, die Behörden hätten sie im Zeitraum von (...) bis (...) zunächst wöchentlich, dann jede zweite Woche aufgesucht. Weiter habe sie in der Befragung zur Person zunächst ausgeführt, im Jahr (...) von (...) Soldaten mitgenommen worden zu sein. Auf die Frage, wohin sie gebracht worden sei, habe sie geantwortet, die Soldaten hätten sie lediglich mitnehmen wollen, jedoch schliesslich doch nicht mitgenommen. Anlässlich der Anhörung habe sie demgegenüber ausgeführt, in Haft genommen und gleichentags wieder entlassen worden zu sein. Ihre Erklärungsversuche anlässlich des rechtlichen Gehörs würden nicht überzeugen. Ferner seien ihre Ausführungen insbesondere zur Haft und den angeblich zahlreichen Behördenbesuchen oberflächlich sowie schemenhaft ausgefallen und würden nicht von Selbsterlebtem zeugen. Schliesslich habe die Beschwerdeführerin auch die illegale Ausreise nicht glaubhaft machen können.</w:t>
      </w:r>
    </w:p>
    <w:p>
      <w:r>
        <w:rPr>
          <w:b/>
        </w:rPr>
        <w:t>E. 6</w:t>
      </w:r>
    </w:p>
    <w:p>
      <w:r>
        <w:t>Die Schlussfolgerungen der Vorinstanz sind weder in tatsächlicher noch in rechtlicher Hinsicht zu beanstanden. Die angefochtene Verfügung ist ausreichend begründet und der Sachverhalt ist ausreichend abgeklärt. Nach Prüfung der Akten durch das Gericht ist in Übereinstimmung mit der Vorinstanz festzustellen, dass die Vorfluchtgründe der Beschwerdeführerin den Anforderungen an das Glaubhaftmachen nicht standzuhalten vermögen, weshalb diesbezüglich vorab auf die zutreffenden vorinstanzlichen Erwägungen zu verweisen ist. Es trifft zu, dass die Aussagen der Beschwerdeführerin zu den zentralen Elementen ihrer Fluchtgeschichte diametral voneinander abweichen. Zudem überzeugen die Erklärungsversuche der Beschwerdeführerin anlässlich der Gewährung des rechtlichen Gehörs ebenso wenig, wie ihre oberflächlichen Beschwerdeausführungen. Letztere sind nicht geeignet, zu einer von der Vorinstanz abweichenden Betrachtungsweise zu gelangen, zumal sie den vorinstanzlichen Erwägungen nichts Substanzielles entgegenhalten. Es ist somit festzustellen, dass die Beschwerdeführerin ihre behauptete Aufforderung zum Militärdienst weder nachweisen konnte noch glaubhaft gemacht hat. Im Übrigen dürfte der sich Anfang 2017 angeblich noch in Haft befundene Bruder inzwischen seine Haftstrafe verbüsst haben; etwaige Beweismittel wurden keine ins Recht gelegt (SEM-Akten, A17, S. 3, F13 f.).</w:t>
      </w:r>
    </w:p>
    <w:p>
      <w:r>
        <w:rPr>
          <w:b/>
        </w:rPr>
        <w:t>E. 7.1</w:t>
      </w:r>
    </w:p>
    <w:p>
      <w:r>
        <w:t>Was die geltend gemachte illegale Ausreise der Beschwerdeführerin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(ebd.,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welche zu einer Verschärfung des Profils und dadurch zu einer flüchtlingsrechtlich relevanten Verfolgungsgefahr führen (ebd., E. 5.2). Diese zusätzlichen Anknüpfungspunkte sind nachzuweisen oder zumindest glaubhaft zu machen (Art. 7 Abs. 1 AsylG).</w:t>
      </w:r>
    </w:p>
    <w:p>
      <w:r>
        <w:rPr>
          <w:b/>
        </w:rPr>
        <w:t>E. 7.2</w:t>
      </w:r>
    </w:p>
    <w:p>
      <w:r>
        <w:t>In Anbetracht der geänderten Rechtsprechung kann die Frage nach der Glaubhaftigkeit der von der Beschwerdeführerin geltend gemachten illegalen Ausreise offen bleiben. Aus den Akten ergeben sich keine Gründe, die die Beschwerdeführerin in den Augen des eritreischen Regimes als missliebige Person erscheinen liessen. Insbesondere sind ihre geltend gemachten Fluchtgründe - wie vorliegend dargelegt - als unglaubhaft zu betrachten. Insofern weist sie neben der illegalen Ausreise keine zusätzlichen Anknüpfungspunkte für eine Verschärfung ihres Profils auf, weshalb sich keine flüchtlingsrechtlich beachtliche Verfolgung annehmen lässt.</w:t>
      </w:r>
    </w:p>
    <w:p>
      <w:r>
        <w:rPr>
          <w:b/>
        </w:rPr>
        <w:t>E. 7.3</w:t>
      </w:r>
    </w:p>
    <w:p>
      <w:r>
        <w:t>Die Vorinstanz hat folglich zu Recht das Vorliegen sowohl von Vorflucht- als auch von Nachfluchtgründen verneint und das Asylgesuch abgelehnt.</w:t>
      </w:r>
    </w:p>
    <w:p>
      <w:r>
        <w:rPr>
          <w:b/>
        </w:rPr>
        <w:t>E. 8</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Die Vorinstanz wies in der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(vgl. oben E. 5 f.), kann der in Art. 5 AsylG verankerte Grundsatz der Nichtrückschiebung im vorliegenden Verfahren keine Anwendung finden.</w:t>
      </w:r>
    </w:p>
    <w:p>
      <w:r>
        <w:rPr>
          <w:b/>
        </w:rPr>
        <w:t>E. 9.2.2</w:t>
      </w:r>
    </w:p>
    <w:p>
      <w:r>
        <w:t>Die Frage der Zulässigkeit des Wegweisungsvollzugs bei anstehender Einziehung in den eritreischen Nationaldienst ist vom Bundesverwaltungsgericht inzwischen in einem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geprüft.</w:t>
      </w:r>
    </w:p>
    <w:p>
      <w:r>
        <w:rPr>
          <w:b/>
        </w:rPr>
        <w:t>E. 9.2.2.1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9.2.2.2</w:t>
      </w:r>
    </w:p>
    <w:p>
      <w:r>
        <w:t>Gemäss Praxis des Europäischen Gerichtshofes für Menschenrechte (EGMR) müsste die Beschwerdeführerin mit Blick auf Art. 3 EMRK das ernsthafte Risiko ("real risk") nachweisen, dass ihr im Falle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9.4</w:t>
      </w:r>
    </w:p>
    <w:p>
      <w:r>
        <w:t>Vorliegend sind keine besonderen Umstände ersichtlich, die es als wahrscheinlich erscheinen liessen, die Beschwerdeführerin könnte im Falle einer Rückkehr nach Eritrea in eine existentiell bedrohliche Situation geraten. Die junge und gesunde Beschwerdeführerin verfügt über Schulbildung (mindestens bis zur [...] Klasse), ein intaktes familiäres Beziehungsnetz vor Ort und Arbeitserfahrung in der (...) Landwirtschaft. Zudem haben ihre Verwandten offenbar genügend finanzielle Mittel, war es den Grosseltern doch namentlich möglich, die hohe Summe für die Reise der Beschwerdeführerin aufzubringen. Auf Beschwerdeebene wird dem nichts entgegengestellt.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Es erweist sich somit, dass gemäss der aktualisierten Lagebeurteilung des Bundesverwaltungsgerichts der Vollzug der Wegweisung der Beschwerdeführerin nach Eritrea zumutbar ist.</w:t>
      </w:r>
    </w:p>
    <w:p>
      <w:r>
        <w:rPr>
          <w:b/>
        </w:rPr>
        <w:t>E. 9.5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Heimatstaats die für eine Rückkehr notwendigen Reisedokumente zu beschaffen (vgl. Art. 8 Abs. 4 AsylG und dazu auch BVGE 2008/34 E. 12), weshalb der Vollzug der Wegweisung auch als möglich zu bezeichnen ist (Art. 83 Abs. 2 AIG).</w:t>
      </w:r>
    </w:p>
    <w:p>
      <w:r>
        <w:rPr>
          <w:b/>
        </w:rPr>
        <w:t>E. 9.6</w:t>
      </w:r>
    </w:p>
    <w:p>
      <w:r>
        <w:t>Die Vorinstanz hat den Vollzug demnach zu Recht als zulässig, zumutbar und möglich erachtet. Damit fällt die Anordnung einer vorläufigen Aufnahme ausser Betracht (Art. 83 Abs. 1-4 AIG).</w:t>
      </w:r>
    </w:p>
    <w:p>
      <w:r>
        <w:rPr>
          <w:b/>
        </w:rPr>
        <w:t>E. 10</w:t>
      </w:r>
    </w:p>
    <w:p>
      <w:r>
        <w:t>Aus diesen Erwägungen ergibt sich, dass die angefochtene Verfügung Bundesrecht nicht verletzt und auch sonst nicht zu beanstanden ist (Art. 106 AsylG und Art. 49 VwVG). Die Beschwerde ist abzuweisen. Nach dem Gesagten besteht kein Anlass zur Rückweisung der Sache an die Vorinstanz. Der entsprechende Beschwerdeantrag ist abzuweisen.</w:t>
      </w:r>
    </w:p>
    <w:p>
      <w:r>
        <w:rPr>
          <w:b/>
        </w:rPr>
        <w:t>E. 11</w:t>
      </w:r>
    </w:p>
    <w:p>
      <w:r>
        <w:t>Bei diesem Ausgang des Verfahrens wären die Verfahrenskosten grundsätzlich der Beschwerdeführerin aufzuerlegen (Art. 63 Abs. 1 VwVG). Da ihr jedoch mit Zwischenverfügung vom 25. April 2017 die unentgeltliche Rechtspflege im Sinne von Art. 65 Abs. 1 VwVG gewährt wurde und aufgrund der Akten davon auszugehen ist, dass sie nach wie vor bedürftig ist,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