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E-8823/2025 vom 15. Januar 2026</w:t>
      </w:r>
    </w:p>
    <w:p>
      <w:r>
        <w:t>Bundesverwaltungsgericht, 2026-01-15, FR</w:t>
      </w:r>
    </w:p>
    <w:p>
      <w:r>
        <w:rPr>
          <w:b/>
        </w:rPr>
        <w:t xml:space="preserve">Quelle: </w:t>
      </w:r>
      <w:r>
        <w:t>https://mcp.opencaselaw.ch/entscheid/bvger_E-8823_2025</w:t>
      </w:r>
    </w:p>
    <w:p>
      <w:r>
        <w:t>FR: TAF E-8823/2025 du 15 janvier 2026</w:t>
      </w:r>
    </w:p>
    <w:p>
      <w:r>
        <w:t>IT: TAF E-8823/2025 del 15 gennaio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et 52 al. 1 PA ainsi que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w:t>
      </w:r>
    </w:p>
    <w:p>
      <w:r>
        <w:t>E-8823/2025 Page 5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pertinence de ses motifs.</w:t>
      </w:r>
    </w:p>
    <w:p>
      <w:r>
        <w:rPr>
          <w:b/>
        </w:rPr>
        <w:t>E. 3.2</w:t>
      </w:r>
    </w:p>
    <w:p>
      <w:r>
        <w:t>Le Tribunal relève d’abord qu’il s’est montré laconique et peu précis dans ses réponses bien que l’auditeur l’ait invité, à plusieurs reprises, à se montrer plus complet et détaillé (cf. procès-verbal [p-v] de l’audition du 22 septembre 2025, questions 71, 73, 80, 84, 86, 87, 93 et 98), de même que sa représentante juridique (cf. idem, questions 116 à 122) ; dans cette mesure, la portée de ses propos en est amoindrie, le défaut significatif de détails de ses déclarations portant à mal la réalité des faits relatés. S’agissant du fond, il ressort de son récit qu’il aurait été interpellé et emprisonné pour avoir transmis aux autorités du district le refus de son employeur de verser une contribution. A admettre que ces faits soient avérés, les mesures prises contre le recourant ne découlaient d’aucun des motifs cités à l’art. 3 al. 1 LAsi ; en effet, il a indiqué n’avoir jamais eu d’engagement politique (cf. p-v de l’audition du 22 septembre 2025, question 65). De plus, il n’a jamais fait valoir que les problèmes rencontrés avec les autorités découleraient de son origine ethnique, cette allégation n’apparaissant que dans le recours, sans d’ailleurs n’être aucunement étayée. Il aurait du reste été relâché après quelques jours, grâce à l’aide d’un parent et aurait quitté l’Ethiopie légalement, muni de son passeport personnel. De même, la démolition de sa maison, mesure décidée avant les événements décrits et prise dans le cadre d’un projet d’urbanisme, n’apparaît pas non plus constituer un acte de persécution ; son épouse et ses enfants auraient d’ailleurs été relogés, le recourant précisant lors de son audition qu’ils allaient bien et n’avaient pas de problèmes (cf. p-v de l’audition du 22 septembre 2025, questions 16 à 20 et 26 à 31), excepté des difficultés survenues avec l’école des enfants, ceux-ci ayant repris leur scolarité en retard (cf. idem, questions 109 à 113). C’est sans fondement solide que l’intéressé a mis ces difficultés en rapport avec son départ,</w:t>
      </w:r>
    </w:p>
    <w:p>
      <w:r>
        <w:t>E-8823/2025 Page 6 intervenu plusieurs mois plus tôt. Enfin, ce n’est là encore que dans le recours qu’il fait valoir que depuis son départ du pays, sa femme est harcelée par les autorités et que ses enfants sont psychologiquement perturbés, et là non plus sans étayer ces nouvelles allégations ‒ contradictoires avec celles faites en auditions ‒, dont la crédibilité apparaît dès lors douteuse.</w:t>
      </w:r>
    </w:p>
    <w:p>
      <w:r>
        <w:rPr>
          <w:b/>
        </w:rPr>
        <w:t>E. 3.3</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Si l’Ethiopie a connu, entre novembre 2020 et novembre 2022, une guerre civile dans le nord du pays et que des violences persistent ponctuellement et localement il n'en demeure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E-1408/2021 du 20 janvier 2025 consid. 9. 2 et réf. cit.). En outre, il ne ressort du dossier aucun élément dont on pourrait inférer que l'exécution du renvoi impliquerait une mise en danger concrète du recourant. En effet, il est en bonne santé (cf. ATAF 2014/26 consid. 7.3 à 7.10 ; 2011/50 consid. 8.3), a obtenu plusieurs diplômes universitaires et dispose d’une importante expérience professionnelle (cf. p-v de l’audition du 22 septembre 2025, question 4) ; il peut également s’appuyer sur un important réseau familial, ses cinq frères et ses deux sœurs se trouvant en Ethiopie (cf. p-v de l’entretien sur les données personnelles, pt 3.02).</w:t>
      </w:r>
    </w:p>
    <w:p>
      <w:r>
        <w:t>E-8823/2025 Page 8</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 il est dès lors renoncé à un échange d'écritures, le présent arrêt n'étant motivé que sommairement (art. 111a al. 1 et 2 LAsi). 8.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E-8823/2025 Page 9</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w:t>
      </w:r>
    </w:p>
    <w:p>
      <w:r>
        <w:t>E-8823/2025 Page 7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