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E-87/2022 vom 19. Januar 2022</w:t>
      </w:r>
    </w:p>
    <w:p>
      <w:r>
        <w:t>Bundesverwaltungsgericht, 2022-01-19, FR</w:t>
      </w:r>
    </w:p>
    <w:p>
      <w:r>
        <w:rPr>
          <w:b/>
        </w:rPr>
        <w:t xml:space="preserve">Quelle: </w:t>
      </w:r>
      <w:r>
        <w:t>https://mcp.opencaselaw.ch/entscheid/bvger_E-87_2022</w:t>
      </w:r>
    </w:p>
    <w:p>
      <w:r>
        <w:t>FR: TAF E-87/2022 du 19 janvier 2022</w:t>
      </w:r>
    </w:p>
    <w:p>
      <w:r>
        <w:t>IT: TAF E-87/2022 del 19 gennaio 2022</w:t>
      </w:r>
    </w:p>
    <w:p>
      <w:pPr>
        <w:pStyle w:val="Heading2"/>
      </w:pPr>
      <w:r>
        <w:t>Regeste</w:t>
      </w:r>
    </w:p>
    <w:p>
      <w:r>
        <w:t>Asile et renvoi (demande multiple/réexamen)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admis ; la décision du SEM du 24 décembre 2021 est annulée.</w:t>
      </w:r>
    </w:p>
    <w:p>
      <w:r>
        <w:rPr>
          <w:b/>
        </w:rPr>
        <w:t>E. 2</w:t>
      </w:r>
    </w:p>
    <w:p>
      <w:r>
        <w:t>Le SEM est invité à statuer sur la demande multiple du 13 décembre 2021.</w:t>
      </w:r>
    </w:p>
    <w:p>
      <w:r>
        <w:rPr>
          <w:b/>
        </w:rPr>
        <w:t>E. 3</w:t>
      </w:r>
    </w:p>
    <w:p>
      <w:r>
        <w:t>Il n'est pas perçu de frais.</w:t>
      </w:r>
    </w:p>
    <w:p>
      <w:r>
        <w:rPr>
          <w:b/>
        </w:rPr>
        <w:t>E. 4</w:t>
      </w:r>
    </w:p>
    <w:p>
      <w:r>
        <w:t>Le SEM versera au recourant des dépens d'un montant de 450 francs.</w:t>
      </w:r>
    </w:p>
    <w:p>
      <w:r>
        <w:rPr>
          <w:b/>
        </w:rPr>
        <w:t>E. 5</w:t>
      </w:r>
    </w:p>
    <w:p>
      <w:r>
        <w:t>Le présent arrêt est adressé au mandataire du recourant, au SEM et à l'autorité cantonale. Le juge unique : Le greffier : Grégory Sauder Antoine Willa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