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E-8788/2010 vom 12. September 2011</w:t>
      </w:r>
    </w:p>
    <w:p>
      <w:r>
        <w:t>Bundesverwaltungsgericht, 2011-09-12, FR</w:t>
      </w:r>
    </w:p>
    <w:p>
      <w:r>
        <w:rPr>
          <w:b/>
        </w:rPr>
        <w:t xml:space="preserve">Quelle: </w:t>
      </w:r>
      <w:r>
        <w:t>https://mcp.opencaselaw.ch/entscheid/bvger_E-8788_2010</w:t>
      </w:r>
    </w:p>
    <w:p>
      <w:r>
        <w:t>FR: TAF E-8788/2010 du 12 septembre 2011</w:t>
      </w:r>
    </w:p>
    <w:p>
      <w:r>
        <w:t>IT: TAF E-8788/2010 del 12 settembre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n'a pas été en mesure de faire apparaître la pertinence, voire la crédibilité de ses motifs.</w:t>
      </w:r>
    </w:p>
    <w:p>
      <w:r>
        <w:rPr>
          <w:b/>
        </w:rPr>
        <w:t>E. 3.2</w:t>
      </w:r>
    </w:p>
    <w:p>
      <w:r>
        <w:t>Il est certes établi que l'intéressé a bien été incarcéré entre 1997 et 2000 et qu'il a alors subi des sévices, ces éléments se trouvant attestés par les photographies et les extraits de presse déposés ; ses troubles de santé peuvent aussi trouver leur origine dans ces événements, ainsi que dans sa participation à une grève de la faim. L'intéressé n'a pu cependant pu produire aucune pièce attestant de sa condamnation et de sa remise en liberté, quand bien même celle-ci aurait été ratifiée par une grâce présidentielle. Cela dit, ces faits maintenant très anciens ne sont toutefois pas à l'origine du départ du recourant, aucun rapport de causalité direct n'existant entre eux. Ils ne sont donc plus pertinents. En effet, l'institution de l'asile a pour objet de protéger le requérant d'un risque de persécution actuel, et n'a pas vocation à compenser les effets d'une persécution passée, qui a perdu son actualité ; si la personne intéressée ne revêtait pas, au moment du départ de son pays d'origine, la qualité de réfugié, l'asile ne peut en principe être accordé (cf. à ce sujet Jurisprudence et informations de la Commission suisse de recours en matière d'asile [JICRA] 2000 n° 2 consid. 8b p. 20-21).</w:t>
      </w:r>
    </w:p>
    <w:p>
      <w:r>
        <w:rPr>
          <w:b/>
        </w:rPr>
        <w:t>E. 3.3</w:t>
      </w:r>
    </w:p>
    <w:p>
      <w:r>
        <w:t>S'agissant de la période postérieure, il n'apparaît pas que le recourant ait été la cible d'une persécution délibérée ou, faute d'intensité, d'une pression psychologique telle qu'elle pouvait être qualifiée d'insupportable (cf. ATAF 2010/28 consid. 3.3.1.1 p. 400-401). En effet, si l'intéressé dit avoir été interpellé à de multiples reprises et brièvement retenu, il n'aurait cependant jamais été maltraité. De plus, autant qu'on puisse le déterminer, ces gardes à vue, même exagérément fréquentes, n'auraient pas été décidées arbitrairement, mais ordonnées dans le cadre d'une procédure pénale en cours (cf. audition du 25 août 2010, questions 69-70 ; audition du 22 novembre 2010, questions 41-43 et 77). Une seule de ces procédures a d'ailleurs été documentée par l'intéressé, qui n'a pas réellement donné d'explications satisfaisantes à sa carence à fournir d'autres pièces.</w:t>
      </w:r>
    </w:p>
    <w:p>
      <w:r>
        <w:rPr>
          <w:b/>
        </w:rPr>
        <w:t>E. 3.4</w:t>
      </w:r>
    </w:p>
    <w:p>
      <w:r>
        <w:t>Au sujet de cette procédure trouvant son origine dans les événements de (...), le Tribunal constate qu'elle aurait débuté en 2005, selon l'acte d'accusation, et non en 2001 comme l'affirme le recourant (cf. audition du 22 novembre 2010, question 52) ; elle apparaît en outre avoir connu plusieurs reports et suspensions, et n'est pas terminée à la date du présent arrêt, là encore contrairement aux dires de l'intéressé. On ne peut donc soutenir que les autorités turques aient poursuivi celui ci avec acharnement ; à preuve, le fait que le mandat d'arrêt, contrairement à ce qu'a moult fois affirmé le recourant, a été émis plusieurs mois avant son départ, et qu'aucune arrestation n'a cependant eu lieu. Le Tribunal doit également constater que les documents judiciaires déposés au stade du recours, sans explications complémentaires, sous forme de simples photocopies, ne comportent ni timbre ni signature, et ne sont pas désignés comme des copies conformes ; ils ne revêtent dès lors aucune force probante.</w:t>
      </w:r>
    </w:p>
    <w:p>
      <w:r>
        <w:rPr>
          <w:b/>
        </w:rPr>
        <w:t>E. 3.5</w:t>
      </w:r>
    </w:p>
    <w:p>
      <w:r>
        <w:t>Les circonstances dans lesquelles l'intéressé aurait quitté la Turquie ne sont pas non plus dignes de foi. En effet, le Tribunal ne peut tenir pour vraisemblable que ses amis aient pu bloquer le service informatique de la police frontière au moment exact de son passage. Il n'est pas non plus crédible que son avocat ait pu obtenir une attestation d'absence de poursuites pénales en s'adressant aux autorités d'une autre province, qui n'avaient ni qualité ni motif pour la délivrer. De plus, il n'est pas convaincant que le recourant, ayant obtenu à grand-peine un passeport, l'ait inopinément oublié. Ce passeport, contrairement à ce qu'affirme l'intéressé, ne contenait d'ailleurs pas de visa allemand, comme l'atteste le fait que les autorités allemandes, ne le connaissant pas, aient refusé sa prise en charge. Il y a donc tout lieu d'admettre que l'intéressé dissimule son passeport, qui comporte des données inconciliables avec sa version des faits, ou qu'il a accompli son voyage dans de tout autres conditions.</w:t>
      </w:r>
    </w:p>
    <w:p>
      <w:r>
        <w:rPr>
          <w:b/>
        </w:rPr>
        <w:t>E. 3.6</w:t>
      </w:r>
    </w:p>
    <w:p>
      <w:r>
        <w:t>Enfin, le Tribunal n'est pas convaincu que le recourant court un risque sérieux de sanction pour n'avoir pas accompli son service militaire ; en effet, même si sa situation n'est pas régularisée, sa manifeste inaptitude physique, déjà constatée par les militaires eux-mêmes (cf. audition du 22 novembre 2010, questions 56-57), devrait lui valoir sans difficulté une exemption de cette obligation, une fois les démarches nécessaires accomplies.</w:t>
      </w:r>
    </w:p>
    <w:p>
      <w:r>
        <w:rPr>
          <w:b/>
        </w:rPr>
        <w:t>E. 3.7</w:t>
      </w:r>
    </w:p>
    <w:p>
      <w:r>
        <w:t>L'intéressé n'a donc pas rendu vraisemblable, à satisfaction de droit, le risque d'une persécution en cas de retour ; quand aux sévices subis lors de sa détention, ils sont très antérieurs à son départ et sans relation avec lui. 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de droit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l'intéressé n'a pas rendu crédible qu'il soit exposé à un danger de cette nature en raison des éventuelles procédures pénales encore ouvertes contre lui, ou risque encore des sanctions en raison de sa situation militaire. 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Il est notoire que la province d'Izmir ne connaît pas de troubles particuliers qui permettraient d'emblée - et indépendamment des circonstances du cas d'espèce - de présumer, à propos de toutes les personnes originaires de cette région de la Turquie,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le Tribunal relève en effet qu'il est encore jeune, au bénéfice d'une expérience professionnelle et sans charge de famille. S'agissant de ses problèmes de santé, ils n'apparaissent pas d'une gravité telle qu'elle exclue un retour (cf. à ce sujet Jurisprudence et informations de la Commission suisse de recours en matière d'asile [JICRA] 2003 n° 24 consid. 5b p. 157s.). En effet, l'intéressé est atteint de troubles de la mémoire (découlant du syndrome de Korsakoff) et de difficultés de locomotion d'origine neurologique. De l'avis des thé-rapeutes, aucun traitement n'est possible, ni d'ailleurs nécessaire, des contrôles périodiques étant suffisants. Si son état est certes de nature à compliquer sa vie quotidienne, il y a lieu de rappeler que le recourant dispose d'un réseau familial important (parents et quatre frères et soeurs) dans son pays, sur lequel il pourra compter à son retour.</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w:t>
      </w:r>
    </w:p>
    <w:p>
      <w:r>
        <w:t>Il s'ensuit que le recours, en tant qu'il conteste la décision de renvoi et son exécution, doit être également rejeté.</w:t>
      </w:r>
    </w:p>
    <w:p>
      <w:r>
        <w:rPr>
          <w:b/>
        </w:rPr>
        <w:t>E. 10</w:t>
      </w:r>
    </w:p>
    <w:p>
      <w:r>
        <w:t>Le bénéfice de l'assistance judiciaire partielle ayant été accordé au recourant (art. 65 al. 1 PA),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