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E-877/2020 vom 10. Februar 2020</w:t>
      </w:r>
    </w:p>
    <w:p>
      <w:r>
        <w:t>Bundesverwaltungsgericht, 2020-02-10, DE</w:t>
      </w:r>
    </w:p>
    <w:p>
      <w:r>
        <w:rPr>
          <w:b/>
        </w:rPr>
        <w:t xml:space="preserve">Quelle: </w:t>
      </w:r>
      <w:r>
        <w:t>https://mcp.opencaselaw.ch/entscheid/bvger_E-877_2020_d20200210</w:t>
      </w:r>
    </w:p>
    <w:p>
      <w:r>
        <w:t>FR: TAF E-877/2020 du 10 février 2020</w:t>
      </w:r>
    </w:p>
    <w:p>
      <w:r>
        <w:t>IT: TAF E-877/2020 del 10 febbraio 2020</w:t>
      </w:r>
    </w:p>
    <w:p>
      <w:pPr>
        <w:pStyle w:val="Heading2"/>
      </w:pPr>
      <w:r>
        <w:t>Regeste</w:t>
      </w:r>
    </w:p>
    <w:p>
      <w:r>
        <w:t>Vollzug der Wegweisung (Wiedererw&amp;auml;gung) | Vollzug der Wegweisung (Wiedererwägung); Verfügung des SEM vom 10. Februar 2020</w:t>
      </w:r>
    </w:p>
    <w:p>
      <w:pPr>
        <w:pStyle w:val="Heading2"/>
      </w:pPr>
      <w:r>
        <w:t>Erwägungen</w:t>
      </w:r>
    </w:p>
    <w:p>
      <w:r>
        <w:rPr>
          <w:b/>
        </w:rPr>
        <w:t>E. 1.1</w:t>
      </w:r>
    </w:p>
    <w:p>
      <w:r>
        <w:t>Am 1. März 2019 ist die Teilrevision des AsylG vom 26. Juni 1998 (AS 2016 3101; SR 142.31) in Kraft getreten. Für das vorliegende Verfahren</w:t>
      </w:r>
    </w:p>
    <w:p>
      <w:r>
        <w:t>E-877/2020 Seite 7 gilt das bisherige Recht (vgl. Abs. 1 der Übergangsbestimmungen zur Än- derung des AsylG vom 25. September 2015).</w:t>
      </w:r>
    </w:p>
    <w:p>
      <w:r>
        <w:rPr>
          <w:b/>
        </w:rPr>
        <w:t>E. 1.2</w:t>
      </w:r>
    </w:p>
    <w:p>
      <w:r>
        <w:t>Gemäss Art. 31 VGG ist das Bundesverwaltungsgericht zur Beurtei- lung von Beschwerden gegen Verfügungen nach Art. 5 VwVG zuständig und entscheidet auf dem Gebiet des Asyls in der Regel – wie auch vorlie- gend – endgültig (Art. 105 Asylgesetz [AsylG, SR 142.31]; Art. 83 Bst. d Ziff. 1 BGG). Der Beschwerdeführer ist als Verfügungsadressat zur Be- schwerdeführung legitimiert (Art. 48 Abs. 1 VwVG). Auf die frist- und form- gerecht eingereichte Beschwerde ist einzutreten (aArt. 108 Abs. 1 und Art. 52 Abs. 1 VwVG).</w:t>
      </w:r>
    </w:p>
    <w:p>
      <w:r>
        <w:rPr>
          <w:b/>
        </w:rPr>
        <w:t>E. 2</w:t>
      </w:r>
    </w:p>
    <w:p>
      <w:r>
        <w:t>Gestützt auf Art. 111a Abs. 1 AsylG wurde vorliegend auf die Durchführung eines Schriftenwechsels verzichtet.</w:t>
      </w:r>
    </w:p>
    <w:p>
      <w:r>
        <w:rPr>
          <w:b/>
        </w:rPr>
        <w:t>E. 3</w:t>
      </w:r>
    </w:p>
    <w:p>
      <w:r>
        <w:t>Die Vorinstanz gelangte in der angefochtenen Verfügung zum Schluss, es würden keine Gründe vorliegen, welche die Rechtskraft der Verfügung vom</w:t>
      </w:r>
    </w:p>
    <w:p>
      <w:r>
        <w:rPr>
          <w:b/>
        </w:rPr>
        <w:t>E. 4</w:t>
      </w:r>
    </w:p>
    <w:p>
      <w:r>
        <w:t>In der Rechtsmitteleingabe macht der Beschwerdeführer geltend, er habe glaubhaft darlegen können, dass er mit (...) F._______, H._______, in der Seitenlinie als Cousin verwandt sei. Ausserdem sei dieser Cousin mit seiner Schwester verheiratet. Diese sei im Zeitpunkt des ersten Asylverfahrens ebenfalls innerhalb der K._______-Partei aktiv gewesen. Ihre politische Oppositionstätigkeit dürfte durch (...) H._______ zum (...) der F._______ den syrischen Behörden erneut zu Kenntnis gekommen sein, was für ihn eine zusätzliche Gefährdung bedeute. Sodann lasse die Vorinstanz ausser Acht, dass er wegen seiner Weigerung, der L._______ beizutreten, vom (...) 19(...) bis (...) 19(...) inhaftiert gewesen sei und den Behörden somit noch vor seiner Ausreise aus Syrien negativ aufgefallen sei. Diese Verhaftung sei nie in Frage gestellt worden. Vor diesem Hintergrund müsse auch seine exilpolitische Tätigkeit neu betrachtet werden. Ferner lasse sich den Akten entnehmen, dass durchaus eine politische Nähe zwischen ihm und seinem Cousin bestanden habe. Sodann sei die persönliche familiäre Beziehung zum Cousin nur schon deshalb sehr eng, weil dieser mit seiner Schwester verheiratet sei. Die Familie stehe unter anderem über Whats-App und per Telefon in steten und regelmässigen Kontakt und der Cousin habe im Jahre 20(...) anlässlich eines Traueranlasses die Schweiz besucht. Im Lichte dieser Tatsachen sei darüber hinaus zu berücksichtigen, dass zahlreiche seiner Verwandten im Ausland den Asyl- beziehungsweise Flüchtlingsstatus erhalten hätten, womit sein Profil weiter geschärft werde. Indem die Vorinstanz keine Gesamtschau der Risikofaktoren vornehme und auf die Vorbringen im Zusammenhang mit den Verwandten nicht eingetreten sei, verletze sie die Pflicht zur Abklärung des relevanten Sachverhalts. Des Weiteren sei festzuhalten, dass in zahlreichen Berichten die Bestrafung und Misshandlung von Rückkehrern durch die heimatlichen Behörden dokumentiert sei. Vor dem Hintergrund dieser neuen Fakten müssten auch die alten Beweismittel neu gewürdigt werden, zumal die Behörden den Beweis der Fälschung nicht hätten erbringen können. Insgesamt sei sowohl das Vorliegen von objektiven als auch subjektiven Nachfluchtgründen zu bejahen. Der Vollzug der Wegweisung stehe zudem im Widerspruch zu völkerrechtlichen Verpflichtungen der Schweiz und sei ferner unzumutbar.</w:t>
      </w:r>
    </w:p>
    <w:p>
      <w:r>
        <w:rPr>
          <w:b/>
        </w:rPr>
        <w:t>E. 5</w:t>
      </w:r>
    </w:p>
    <w:p>
      <w:r>
        <w:t>Oktober 2016 beseitigen könnten und wies das Wiederwägungsgesuch beziehungsweise das qualifizierte Wiedererwägungsgesuch ab. Soweit sie die Vorbringen des Beschwerdeführers als Revisionsgesuch qualifizierte, trat sie darauf nicht ein. Zur Begründung führt die Vorinstanz aus, der Beschwerdeführer habe Sy- rien noch vor dem Bürgerkrieg verlassen und in den bisherigen Verfahren weder Vorfluchtgründe noch subjektive Nachfluchtgründe beziehungs- weise ein relevantes politisches Profil glaubhaft darlegen können. Der Um- stand, dass sein Cousin im Jahre 20(…) zum (…) F._______ gewählt wor- den sei, könne an dieser Einschätzung nichts ändern. Die Vorinstanz ver- kenne nicht, dass auch verwandtschaftliche Beziehungen ausserhalb der Kernfamilie zu Reflexverfolgungsmassnahmen durch die syrischen Behör- den führen könnten. Da der Beschwerdeführer jedoch kein politisches Pro- fil aufweise und zwischen ihm und seinem Cousin weder eine politische Nähe noch eine andere relevante Verbindung bestehe, erscheine eine Re- flexverfolgung als unwahrscheinlich. Sodann sei dem eingereichten Schreiben des Verwandten I._______, welcher Syrien angeblich aufgrund der (…) H._______ (…) des F._______ habe verlassen müssen, aufgrund des Gefälligkeitscharakters kein massgeblicher Beweiswert zu attestieren. Des Weiteren sei aufgrund der längeren Landesabwesenheit und der Asyl- gesuchstellung zwar davon auszugehen, der Beschwerdeführer würde bei</w:t>
      </w:r>
    </w:p>
    <w:p>
      <w:r>
        <w:t>E-877/2020 Seite 8 einer Rückkehr nach Syrien einer Befragung durch die heimatlichen Be- hörden unterzogen. Jedoch sei in Ermangelung von Vorfluchtgründen so- wie wegen Fehlens eines flüchtlingsrechtlich relevanten exilpolitischen Profils nicht anzunehmen, er hätte begründete Furcht vor Verfolgung im Heimatland. Zudem seien vergangenes Jahr zehntausende Personen aus den umliegenden Ländern wieder nach Syrien zurückgekehrt. Es sei davon auszugehen, dass sich die syrischen Behörden auf Personen konzentrie- ren würden, welche sie als Bedrohung empfinden würden, wovon beim Be- schwerdeführer jedoch nicht auszugehen sei. Die Ausführungen des Beschwerdeführers, eine Gefährdung resultiere auch aus dem Umstand, dass zahlreiche seiner Verwandten im Ausland den Asyl- oder Flüchtlingsstatus geniessen würden, qualifizierte die Vor- instanz als Revisionsgesuch und trat wegen fehlender Zuständigkeit nicht darauf ein. Die Vorbringen des Beschwerdeführers im Zusammenhang mit dem Ge- sundheitszustand der Ehefrau und dem daraus abgeleiteten Anspruch auf Achtung des Familienlebens behandelte die Vorinstanz als einfaches Wie- dererwägungsgesuch. In diesem Zusammenhang führt sie in den Erwä- gungen aus, aufgrund der eingereichten medizinischen Berichte sei nicht rechtsgenüglich dargetan, inwiefern eine allfällige Wegweisung seiner Ehefrau Art. 3 EMRK zuwiderlaufen würde. Selbst bei Bejahung vermöchte dies kein gefestigtes Aufenthaltsrecht seiner Ehefrau zu begründen, aus welchem er ein Anwesenheitsrecht im Sinne von Art. 8 EMRK ableiten könnte. Sodann sei angesichts seiner erheblichen Straffälligkeit von einem überwiegenden öffentlichen Interesse am Vollzug seiner Wegweisung aus- zugehen. 4. In der Rechtsmitteleingabe macht der Beschwerdeführer geltend, er habe glaubhaft darlegen können, dass er mit (…) F._______, H._______, in der Seitenlinie als Cousin verwandt sei. Ausserdem sei dieser Cousin mit sei- ner Schwester verheiratet. Diese sei im Zeitpunkt des ersten Asylverfah- rens ebenfalls innerhalb der K._______-Partei aktiv gewesen. Ihre politi- sche Oppositionstätigkeit dürfte durch (…) H._______ zum (…) der F._______ den syrischen Behörden erneut zu Kenntnis gekommen sein, was für ihn eine zusätzliche Gefährdung bedeute. Sodann lasse die Vo- rinstanz ausser Acht, dass er wegen seiner Weigerung, der L._______ bei- zutreten, vom (…) 19(…) bis (…) 19(…) inhaftiert gewesen sei und den Behörden somit noch vor seiner Ausreise aus Syrien negativ aufgefallen</w:t>
      </w:r>
    </w:p>
    <w:p>
      <w:r>
        <w:t>E-877/2020 Seite 9 sei. Diese Verhaftung sei nie in Frage gestellt worden. Vor diesem Hinter- grund müsse auch seine exilpolitische Tätigkeit neu betrachtet werden. Ferner lasse sich den Akten entnehmen, dass durchaus eine politische Nähe zwischen ihm und seinem Cousin bestanden habe. Sodann sei die persönliche familiäre Beziehung zum Cousin nur schon deshalb sehr eng, weil dieser mit seiner Schwester verheiratet sei. Die Familie stehe unter anderem über Whats-App und per Telefon in steten und regelmässigen Kontakt und der Cousin habe im Jahre 20(…) anlässlich eines Traueran- lasses die Schweiz besucht. Im Lichte dieser Tatsachen sei darüber hinaus zu berücksichtigen, dass zahlreiche seiner Verwandten im Ausland den Asyl- beziehungsweise Flüchtlingsstatus erhalten hätten, womit sein Profil weiter geschärft werde. Indem die Vorinstanz keine Gesamtschau der Ri- sikofaktoren vornehme und auf die Vorbringen im Zusammenhang mit den Verwandten nicht eingetreten sei, verletze sie die Pflicht zur Abklärung des relevanten Sachverhalts. Des Weiteren sei festzuhalten, dass in zahlreichen Berichten die Bestra- fung und Misshandlung von Rückkehrern durch die heimatlichen Behörden dokumentiert sei. Vor dem Hintergrund dieser neuen Fakten müssten auch die alten Beweis- mittel neu gewürdigt werden, zumal die Behörden den Beweis der Fäl- schung nicht hätten erbringen können. Insgesamt sei sowohl das Vorliegen von objektiven als auch subjektiven Nachfluchtgründen zu bejahen. Der Vollzug der Wegweisung stehe zudem im Widerspruch zu völkerrechtlichen Verpflichtungen der Schweiz und sei ferner unzumutbar.</w:t>
      </w:r>
    </w:p>
    <w:p>
      <w:r>
        <w:rPr>
          <w:b/>
        </w:rPr>
        <w:t>E. 5.1</w:t>
      </w:r>
    </w:p>
    <w:p>
      <w:r>
        <w:t>Der Beschwerdeführer machte bereits im Rahmen der Replik vom 22. März 1999 anlässlich des gegen die Verfügung des BFM vom 21. Ja- nuar 1999 eingeleiteten Beschwerdeverfahrens geltend, er habe einen Cousin, welcher in Europa eine (…) einnehme. Ferner erklärte er, eine sei- ner Schwestern sei mit dem Cousin verheiratet (vgl. Beschwerdeakten Schweizerischen Asylrekurskommission [ARK], A67). Im Entscheid des Bundesverwaltungsgerichts E-6590/2018 vom 16. De- zember 2019 wurde festgehalten, der Beschwerdeführer habe sein Ver- wandtschaftsverhältnis zu besagtem Cousin sowie dessen politische Tä- tigkeit, insbesondere als (…) F._______, glaubhaft machen können. Den</w:t>
      </w:r>
    </w:p>
    <w:p>
      <w:r>
        <w:t>E-877/2020 Seite 10 mit der Beschwerde vom 20. Februar 1999 eingereichten Beweismitteln kann ferner entnommen werden, dass sein Cousin mit M._______, gebo- ren am (…) verheiratet ist (vgl. Beschwerdeakten ARK A75 ff). Aus dem bei den Akten liegenden Familienregisterauszug (vgl. Beilage 3 zur Beschwer- deschrift vom 21. November 2018) geht zudem hervor, dass es sich dabei um eine Schwester des Beschwerdeführers handelt.</w:t>
      </w:r>
    </w:p>
    <w:p>
      <w:r>
        <w:rPr>
          <w:b/>
        </w:rPr>
        <w:t>E. 5.2</w:t>
      </w:r>
    </w:p>
    <w:p>
      <w:r>
        <w:t>Die Vorinstanz erblickt in der im Jahre 2018 erfolgten Wahl des Cousins zum (…) keine konkreten Hinweise auf eine möglicherweise drohende Re- flexverfolgung. Dies – neben dem Umstand, dass der Beschwerdeführer kein flüchtlingsrechtlich relevantes politisches Profil aufweise – insbeson- dere deshalb, da es sich beim Cousin nicht um ein Mitglied der Kernfamilie handle und auch keine weitere nähere Verbindung zwischen diesem und dem Beschwerdeführer auszumachen sei. Der Umstand, dass eine Schwester des Beschwerdeführers mit dem Cousin verheiratet ist, wurde in den Erwägungen nicht berücksichtigt. Vor dem Hintergrund, dass Reflexverfolgungen in Syrien eine ernst zu neh- mende Gefahr darstellen (vgl. bereits die Ausführungen im Urteil des BVGer E-6590/2018 vom 16. Dezember 2019 E. 8.5; sodann aus jüngerer Zeit die Urteile des BVGer E-2089/2020 vom 19. Oktober 2022 E. 7.4 sowie E-3053/2020 vom 4. Oktober 2022 E. 6.5.1 m.w.H.) ist im Umstand, dass eine Schwester des Beschwerdeführers mit einem (…) und Cousin verhei- ratet ist, ein für die Entscheidung wesentliches sowie zu würdigendes Ele- ment zu erblicken. Dies nicht zuletzt deshalb, da die Vorinstanz in der an- gefochtenen Verfügung davon ausgeht, dass der Beschwerdeführer als Rückkehrer bei einer Wiedereinreise in Syrien einer behördlichen Befra- gung unterzogen würde.</w:t>
      </w:r>
    </w:p>
    <w:p>
      <w:r>
        <w:rPr>
          <w:b/>
        </w:rPr>
        <w:t>E. 5.3.1</w:t>
      </w:r>
    </w:p>
    <w:p>
      <w:r>
        <w:t>Mit dem Anspruch auf Gewährung des rechtlichen Gehörs (Art. 29 Abs. 2 BV) korreliert die Pflicht der Behörden, ihre Entscheide zu begrün- den, wobei sie sich mit den für den Entscheid wesentlichen Gesichtspunk- ten auseinanderzusetzen haben (BGE 143 III 65 E. 5.2). Ferner haben die Behörden den Sachverhalt von Amtes wegen festzustellen (Untersu- chungsgrundsatz; vgl. Art. 6 AsylG i.V.m. Art. 12 VwVG). Unvollständig ist die Sachverhaltsfeststellung unter anderem, wenn durch die Behörde nicht alle für die Entscheidung wesentlichen Sachumstände berücksichtigt wur- den (vgl. MOSER, et al., Prozessieren vor dem Bundesverwaltungsgericht,</w:t>
      </w:r>
    </w:p>
    <w:p>
      <w:r>
        <w:t>E-877/2020 Seite 11 3. Aufl. 2022, S. 125 Rz. 2.189 mit zahlreichen Verweisen auf die Recht- sprechung des Bundesverwaltungsgerichts).</w:t>
      </w:r>
    </w:p>
    <w:p>
      <w:r>
        <w:rPr>
          <w:b/>
        </w:rPr>
        <w:t>E. 5.3.2</w:t>
      </w:r>
    </w:p>
    <w:p>
      <w:r>
        <w:t>Gemäss Art. 61 Abs. 1 VwVG entscheidet das Bundesverwaltungs- gericht in der Sache selbst oder weist diese ausnahmsweise mit verbindli- chen Weisungen an die Vorinstanz zurück. Bei der betreffenden Wahl steht dem Gericht ein Ermessenspielraum zu (vgl. Urteil des BVGer A-5017/2013 vom 15. Juli 2014 E. 1.5).</w:t>
      </w:r>
    </w:p>
    <w:p>
      <w:r>
        <w:rPr>
          <w:b/>
        </w:rPr>
        <w:t>E. 5.3.3</w:t>
      </w:r>
    </w:p>
    <w:p>
      <w:r>
        <w:t>Das – neben der Eigenschaft als Cousin – Vorliegen einer zusätzli- chen verwandtschaftlichen Verbindung zu einem (…) durch die Ehe mit ei- ner Schwester des Beschwerdeführers war bereits im erstinstanzlichen Verfahren aktenkundig. Die Vorinstanz wäre – vor dem Hintergrund des konkreten Länderkontextes – gehalten gewesen, dieses wesentliche Ele- ment bei der Entscheidfindung zu berücksichtigen. Mit der Nichtberück- sichtigung, dass der Cousin des Beschwerdeführers mit einer seiner Schwestern verheiratet ist, legt die Vorinstanz ihrem Entscheid einerseits einen unvollständigen Sachverhalt zugrunde, anderseits wird auch der An- spruch des Beschwerdeführers auf Gewährung des rechtlichen Gehörs verletzt, da die Vorinstanz dieses zu berücksichtigenden Element im Er- gebnis nicht würdigt. Da in der vorliegenden Angelegenheit unter Umstän- den zusätzlich Abwägungsfragen im Zusammenhang mit der strafrechtli- chen Vergangenheit des Beschwerdeführers zu beurteilen sind, wird die Angelegenheit kassationsweise an die Vorinstanz zur erneuten Beurteilung und Entscheidfindung zurückgewiesen. Damit bleibt auch der Anspruch auf zwei Instanzen erhalten, was umso wichtiger ist, als das Bundesverwal- tungsgericht letztinstanzlich entscheidet. Angesichts der Rückweisung der Sache erübrigt sich eine Auseinandersetzung mit den weiteren Vorbringen auf Beschwerdeebene.</w:t>
      </w:r>
    </w:p>
    <w:p>
      <w:r>
        <w:rPr>
          <w:b/>
        </w:rPr>
        <w:t>E. 6</w:t>
      </w:r>
    </w:p>
    <w:p>
      <w:r>
        <w:t>Die Beschwerde ist nach dem Ausgeführten gutzuheissen. Die Verfügung vom 10. Februar 2020 ist aufzuheben und die Sache zur neuen Entschei- dung an die Vorinstanz zurückzuweisen.</w:t>
      </w:r>
    </w:p>
    <w:p>
      <w:r>
        <w:rPr>
          <w:b/>
        </w:rPr>
        <w:t>E. 7.1</w:t>
      </w:r>
    </w:p>
    <w:p>
      <w:r>
        <w:t>Bei diesem Ausgang des Verfahrens sind keine Kosten zu auferlegen (Art. 63 Abs. 1 und 2 VwVG). Damit ist die mit Zwischenverfügung vom 17. März 2020 gewährte unentgeltliche Prozessführung gegenstandslos geworden.</w:t>
      </w:r>
    </w:p>
    <w:p>
      <w:r>
        <w:t>E-877/2020 Seite 12</w:t>
      </w:r>
    </w:p>
    <w:p>
      <w:r>
        <w:rPr>
          <w:b/>
        </w:rPr>
        <w:t>E. 7.2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Der Rechtsvertreter des Beschwerdeführers reichte mit Schreiben vom 2. April 2020 eine Kostennote ein. Der darin ausgewiesene Zeitaufwand (7.15 Stunden) sowie der Stundenansatz (Fr. 300.–) erscheinen als ange- messen. Die weiteren Unkosten werden nur vergütet soweit diese der Kos- tennote klar und nachvollziehbar entnommen werden können und sind vor- liegend auf Fr. 72.5 festzusetzen. Die Parteientschädigung beträgt demge- mäss (zuzüglich Mehrwertsteuer) insgesamt Fr. 2'388.– (vgl. für die Grundsätze der Bemessung der Parteientschädigung Art. 7 ff. VGKE). Die- ser Betrag ist von der Vorinstanz auszurichten.</w:t>
      </w:r>
    </w:p>
    <w:p>
      <w:r>
        <w:t>(Dispositiv nächste Seite)</w:t>
      </w:r>
    </w:p>
    <w:p>
      <w:r>
        <w:t>E-877/2020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