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E-876/2018 vom 26. April 2019</w:t>
      </w:r>
    </w:p>
    <w:p>
      <w:r>
        <w:t>Bundesverwaltungsgericht, 2019-04-26, FR</w:t>
      </w:r>
    </w:p>
    <w:p>
      <w:r>
        <w:rPr>
          <w:b/>
        </w:rPr>
        <w:t xml:space="preserve">Quelle: </w:t>
      </w:r>
      <w:r>
        <w:t>https://mcp.opencaselaw.ch/entscheid/bvger_E-876_2018</w:t>
      </w:r>
    </w:p>
    <w:p>
      <w:r>
        <w:t>FR: TAF E-876/2018 du 26 avril 2019</w:t>
      </w:r>
    </w:p>
    <w:p>
      <w:r>
        <w:t>IT: TAF E-876/2018 del 26 aprile 2019</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3.3</w:t>
      </w:r>
    </w:p>
    <w:p>
      <w:r>
        <w:t>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4.1</w:t>
      </w:r>
    </w:p>
    <w:p>
      <w:r>
        <w:t>En l'occurrence, il convient d'examiner si l'appréciation du SEM relative au défaut de vraisemblance, au sens de l'art. 7 LAsi, des motifs de fuite allégués par les recourants lors de leurs auditions est fondée.</w:t>
      </w:r>
    </w:p>
    <w:p>
      <w:r>
        <w:rPr>
          <w:b/>
        </w:rPr>
        <w:t>E. 4.2</w:t>
      </w:r>
    </w:p>
    <w:p>
      <w:r>
        <w:t>Lors de leurs auditions sommaires respectives, aucun des recourants n'a mentionné l'arrivée des frères de la recourante au domicile du père du recourant, les coups de feu, l'intervention d'une patrouille de police à cette occasion et l'échec de la tentative de négociation interclanique. L'absence de mention lors de la première audition de ces éléments essentiels de leurs motifs d'asile plaide pour leur invraisemblance (cf. JICRA 1993 no 3). De plus, lors de la première audition, questionnée sur la manière dont ses frères avaient appris sa relation, la recourante n'a pas pu l'expliquer, ce qui donne l'impression que ses réponses lors de l'audition suivante à ce sujet sont le résultat d'un récit construit (cf. pv de l'audition du 26.10.2015 ch. 7.01 p. 8 ; voir aussi pv de l'audition du 24 octobre 2017 rép. 40, 56, rép. 66 ; rép. 80 à 88). De plus, les recourants ne fournissent aucune explication convaincante sur les raisons qui auraient pu conduire les frères de la recourante à refuser une alliance avec un homme issu d'une famille d'un niveau socio-économique nettement plus élevé qu'eux ; dans ces conditions, on ne voit pas ce qui les aurait empêchés d'informer au moins les frères de la recourante de leur mariage coutumier et de leur souhait de régulariser à terme civilement leur statut, pour mettre fin à leur esprit de vengeance lorsque ceux-ci ont appris, le 1er août 2015, que celle-ci voyait régulièrement un homme (cf. pv de l'audition du 21 octobre 2017 du recourant rép. 50 p. 8 in initio, rép. 59, rép. 61 à 66 ; voir aussi pv de l'audition du 24 octobre 2017 de la recourante rép. 63 et 65). Le Tribunal observe encore qu'ils n'ont pas été constants sur le point de savoir si les frères de la recourante avaient appris ou non qu'ils étaient mariés coutumièrement et, dans l'affirmative, par quelle personne. Le recourant n'a pas non plus fourni d'explications convaincantes sur les raisons pour lesquelles il aurait refusé la proposition de ses oncles de leur confier la responsabilité de la recourante jusqu'à l'enregistrement officiel de son mariage auprès des autorités, alors même que, selon ses déclarations, cette démarche avait fait partie de ses plans. Questionné à ce sujet, il est demeuré évasif (cf. pv de l'audition du rép. 50 p. 9 in initio, rép. 112 à 114).</w:t>
      </w:r>
    </w:p>
    <w:p>
      <w:r>
        <w:rPr>
          <w:b/>
        </w:rPr>
        <w:t>E. 4.3</w:t>
      </w:r>
    </w:p>
    <w:p>
      <w:r>
        <w:t>S'agissant des « avis de condamnation à mort », datés des 21 et 24 août 2015, aucun des recourants n'a mentionné leur existence lors des auditions. Leur explication sur ce silence comme résultat d'une simple erreur de traduction (cf. Faits, let. O) n'est pas convaincante ; ils n'indiquent pas, sur les 144 réponses, respectivement les 98 réponses qu'ils ont données lors de leurs auditions sur leurs motifs, celle où l'erreur de traduction aurait été commise, et aucun élément concret ne permet de la repérer. En tout état de cause, il leur aurait appartenu, à la relecture des procès-verbaux, de corriger une éventuelle erreur en apportant les éclaircissements nécessaires à une meilleure compréhension de leurs allégués totalement lacunaires sur ce point. Pour le reste, ils n'ont fourni aucune explication précise et concrète sur la manière dont ils avaient appris l'existence de ces documents, prétendument avant leurs auditions sur leurs motifs d'asile, et sur la manière dont ils se les étaient procurés pour les produire en la cause, d'abord en copie à l'appui du mémoire de recours, puis sous forme d'originaux le 5 mars 2018. Les déclarations des recourants selon lesquelles ils ne s'étaient aperçus que tardivement de l'importance de produire ces moyens à titre de preuve, n'emportent pas non plus la conviction ; ils ne s'accordent guère avec leur argument selon lequel ils y auraient fait allusion, mais auraient été victimes d'une erreur de traduction. Dans ces circonstances, ces documents ont, selon toute vraisemblance, été confectionnés pour les besoins de la cause, en réaction à la décision négative du SEM. Ils sont donc dénués de valeur probante et leur production en la cause plaide en défaveur de la crédibilité personnelle des recourants.</w:t>
      </w:r>
    </w:p>
    <w:p>
      <w:r>
        <w:rPr>
          <w:b/>
        </w:rPr>
        <w:t>E. 4.4</w:t>
      </w:r>
    </w:p>
    <w:p>
      <w:r>
        <w:t>S'agissant des déclarations relatives à l'intervention violente d'inconnus au domicile du père du recourant à Bagdad, le (...) 2019, avec l'enlèvement du frère du recourant, la question de savoir si elles sont vraisemblables au sens de l'art. 7 LAsi peut demeurer indécise. En tout état de cause, il n'y a pas d'éléments suffisamment concrets et sérieux permettant de conclure à ce que cette intervention violente doive être attribuée à une action de représailles en raison de l'union « illégitime » des recourants découverte près de trois ans et demi auparavant, le 1er août 2015, par les frères de celle-ci, plutôt qu'à des motifs crapuleux, dans une ville en proie à une situation de violence généralisée (cf. arrêt du Tribunal E-5271/2014 et E-5732/2014 du 15 avril 2015 consid. 5.2.4 ; ATAF 2008/12 consid. 6.4) ; par ailleurs, le recourant a omis d'exposer les raisons pour lesquelles son père s'était aventuré à nouveau en ville de Bagdad qu'il aurait pourtant fui en août 2015 jusqu'au Kurdistan irakien (malgré l'appartenance de sa famille à l'ethnie et à la culture arabes), pour échapper aux représailles des frères de la recourante.</w:t>
      </w:r>
    </w:p>
    <w:p>
      <w:r>
        <w:rPr>
          <w:b/>
        </w:rPr>
        <w:t>E. 4.5</w:t>
      </w:r>
    </w:p>
    <w:p>
      <w:r>
        <w:t>Au vu de ce qui précède, tout bien pesé, les recourants n'ont pas rendu vraisemblables, au sens de l'art. 7 LAsi, les motifs de fuite allégués lors de leurs auditions. Il n'y a en conséquence pas lieu de leur reconnaître de crainte objectivement fondée au sens de l'art. 3 LAsi d'être exposés à une persécution ciblée contre eux en cas de retour en Irak.</w:t>
      </w:r>
    </w:p>
    <w:p>
      <w:r>
        <w:rPr>
          <w:b/>
        </w:rPr>
        <w:t>E. 4.6</w:t>
      </w:r>
    </w:p>
    <w:p>
      <w:r>
        <w:t>Enfin, le recourant a invoqué tardivement, au stade du recours, sans motif excusable, sa conversion au christianisme en 2008, sa fréquentation d'églises en des lieux de passage, le tatouage et les deux agressions au couteau subies à la plage. En outre, ses déclarations à ce sujet sont imprécises et dénuées de substance (absence de déclarations circonstanciées sur sa conversion, sa pratique religieuse, la date et le lieu où il se serait fait tatouer, la date et le lieu de chacune des agressions subies et les conséquences de celles-ci). En conséquence, il n'a pas rendu vraisemblables, au sens de l'art. 7 LAsi, ces nouveaux motifs d'asile. Même s'il l'avait rendu vraisemblable, rien n'indiquerait que sa conversion serait venue à la connaissance des autorités civiles ou religieuses irakiennes et qu'une crainte d'être exposé à un sérieux préjudice, ciblé contre lui pour des motifs religieux, serait objectivement fondée au sens de l'art. 3 LAsi.</w:t>
      </w:r>
    </w:p>
    <w:p>
      <w:r>
        <w:rPr>
          <w:b/>
        </w:rPr>
        <w:t>E. 4.7</w:t>
      </w:r>
    </w:p>
    <w:p>
      <w:r>
        <w:t>Au vu de ce qui précède, le recours, en tant qu'il conteste le refus de reconnaissance de la qualité de réfugié et le rejet de la demande d'asile, doit être rejeté et la décision attaquée confirmée sur ces points.</w:t>
      </w:r>
    </w:p>
    <w:p>
      <w:r>
        <w:rPr>
          <w:b/>
        </w:rPr>
        <w:t>E. 5</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6.1</w:t>
      </w:r>
    </w:p>
    <w:p>
      <w:r>
        <w:t>La demande d'assistance judiciaire partielle ayant été admise par décision incidente du Tribunal du 15 mars 2018, il est statué sans frais.</w:t>
      </w:r>
    </w:p>
    <w:p>
      <w:r>
        <w:rPr>
          <w:b/>
        </w:rPr>
        <w:t>E. 6.2</w:t>
      </w:r>
    </w:p>
    <w:p>
      <w:r>
        <w:t>Ayant succombé dans leurs conclusions, les recourants n'ont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