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E-8751/2010 vom 26. Januar 2011</w:t>
      </w:r>
    </w:p>
    <w:p>
      <w:r>
        <w:t>Bundesverwaltungsgericht, 2011-01-26, DE</w:t>
      </w:r>
    </w:p>
    <w:p>
      <w:r>
        <w:rPr>
          <w:b/>
        </w:rPr>
        <w:t xml:space="preserve">Quelle: </w:t>
      </w:r>
      <w:r>
        <w:t>https://mcp.opencaselaw.ch/entscheid/bvger_E-8751_2010</w:t>
      </w:r>
    </w:p>
    <w:p>
      <w:r>
        <w:t>FR: TAF E-8751/2010 du 26 janvier 2011</w:t>
      </w:r>
    </w:p>
    <w:p>
      <w:r>
        <w:t>IT: TAF E-8751/2010 del 26 gennaio 2011</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(Art. 105 des Asylgesetzes vom 26. Juni 1998 [AsylG, SR 142.31];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19 Abs. 1 AsylG kann ein Asylgesuch bei einer schweizerischen Vertretung im Ausland gestellt werden. Diese führt in der Regel mit der asylsuchenden Person eine Befragung durch. Ist dies nicht möglich, ist die Person aufzufordern, ihre Asylgründe schriftlich festzulegen (Art. 10 der Asylverordnung 1 vom 11. August 1999 über Verfahrensfragen [AsylV 1, SR 142.311]). Neben organisatorischen oder kapazitätsmässigen Engpässen kann sich eine Befragung auch erübrigen, wenn der Sachverhalt bereits aufgrund des eingereichten Asylgesuchs als entscheidreif erstellt erscheint. Diesbezüglich ist der asylsuchenden Person das rechtliche Gehör zu gewähren (vgl. Entscheidungen und Mitteilungen der Schweizerischen Asylrekurskommission [EMARK] 2007 Nr. 30 E. 5.7). Der Verzicht auf eine Befragung ist vom BFM zu begründen (vgl. EMARK 2007 Nr. 30 E. 5.6). Die schweizerische Vertretung überweist das Gesuch sowie einen - falls vorhanden - ergänzenden Bericht dem BFM, welches die Einreise in die Schweiz zur Abklärung des Sachverhalts bewilligt, wenn der schutzsuchenden Person nicht zugemutet werden kann, im Wohnsitz- oder Aufenthaltsstaat zu bleiben oder in ein anderes Land auszureisen (Art. 20 Abs. 1 und 2 AsylG).</w:t>
      </w:r>
    </w:p>
    <w:p>
      <w:r>
        <w:rPr>
          <w:b/>
        </w:rPr>
        <w:t>E. 3.2</w:t>
      </w:r>
    </w:p>
    <w:p>
      <w:r>
        <w:t>Vorliegend wurde der Beschwerdeführer von der Schweizer Botschaft in Colombo nicht zu seinem Asylgesuch befragt. Er hat seine Vorbringen jedoch bereits in seinem Asylgesuch und dessen Ergänzungen schriftlich dargelegt, und erhielt danach mit Zwischenverfügung des BFM vom 3. August 2010 die Gelegenheit zur weiteren Konkretisierung seiner Asylgründe; gleichzeitig wurde ihm auch das rechtliche Gehör im Hinblick auf die in Erwägung gezogene Abweisung des Asylgesuchs gewährt. Er hat von seinem Recht auf Stellungnahme Gebrauch gemacht, und der entscheidungswesentliche Sachverhalt erscheint - wie das BFM in der angefochtenen Verfügung zutreffend ausgeführt hat - angesichts der schriftlichen Darlegung der Asylgründe soweit erstellt, dass die entscheidungsrelevanten Elemente vorliegen. Das BFM hat den verfahrensrechtlichen Anforderungen damit Genüge getan.</w:t>
      </w:r>
    </w:p>
    <w:p>
      <w:r>
        <w:rPr>
          <w:b/>
        </w:rPr>
        <w:t>E. 4</w:t>
      </w:r>
    </w:p>
    <w:p>
      <w:r>
        <w:t>Das Bundesamt kann ein im Ausland gestelltes Asylgesuch ablehnen, wenn die asylsuchende Person keine Verfolgung glaubhaft machen kann (Art. 3 und 7 AsylG) oder ihr die Aufnahme in einen Drittstaat zugemutet werden kann (Art. 52 Abs. 2 AsylG). Die Voraussetzungen für die Erteilung einer Einreisebewilligung sind grundsätzlich restriktiv umschrieben. Den Asylbehörden kommt dabei ein weiter Ermessensspielraum zu. Neben der erforderlichen Gefährdung im Sinne von Art. 3 AsylG sind namentlich die Beziehungsnähe zur Schweiz und zu anderen Staaten, die Möglichkeit und objektive Zumutbarkeit einer anderweitigen Schutzsuche sowie die voraussichtlichen Eingliederungs- und Assimilationsmöglichkeiten in Betracht zu ziehen. Ausschlaggebend ist mit anderen Worten die Schutzbedürftigkeit der betreffenden Person, das heisst die Beantwortung der Fragen, ob eine Gefährdung im Sinne von Art. 3 AsylG glaubhaft erscheint und der Verbleib am Aufenthaltsort für die Dauer der Sachverhaltsabklärung zugemutet werden kann, beziehungsweise ob der betreffenden Person - ohne nähere Prüfung einer allfälligen Gefährdung im Sinne von Art. 3 AsylG - zuzumuten ist, sich in einem anderen Staat um Aufnahme zu bemühen (vgl. EMARK 1997 Nr. 15 E. 2e-g; 2004 Nr. 20 E. 3b; 2004 Nr. 21 E. 2; 2005 Nr. 19 E. 4). 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Bundesverwaltungsgericht verkennt nicht, dass bewaffnete Konflikte leidvolle Auswirkungen haben, insbesondere auf weite Teile der Zivilbevölkerung, die vor den Kriegsfolgen ausser Landes oder in andere Landesregionen flüchten. Auch nach Ende eines solchen Konflikts ist es meist die Bevölkerung, welche angesichts der Aufräumarbeiten, Vergangenheitsbewältigung und der Neustrukturierung eines Landes, in einschneidender Weise zu leiden hat. Diese Personen werden in der Regel indes nicht gezielt verfolgt. Individuell gezielte Nachteile im Sinne von Art. 3 AsylG sind erst dann anzunehmen, wenn die schutzsuchende Person nicht lediglich den gleichen Risiken und Einschränkungen wie die gesamte Bevölkerung ihres Heimatstaates ausgesetzt ist, und somit von den Ereignissen nicht lediglich "reflexartig" im Sinne ungezielter "Nebenfolgen" eines Krieges, betroffen ist (vgl. EMARK 1998 Nr. 17 E. 4c.bb).</w:t>
      </w:r>
    </w:p>
    <w:p>
      <w:r>
        <w:rPr>
          <w:b/>
        </w:rPr>
        <w:t>E. 4.2</w:t>
      </w:r>
    </w:p>
    <w:p>
      <w:r>
        <w:t>Gemäss den Ausführungen des Beschwerdeführers wurde er von den bewaffneten Gruppen zu Geldzahlungen erpresst, weil er seinem Vater im Betrieb des Hotels zur Hand ging. Damit wurde er nicht aus Gründen nach Art. 3 AsylG, d.h. wegen seiner Rasse, Religion, Nationalität, Zugehörigkeit zu einer bestimmten sozialen Gruppe oder wegen seiner politischen Anschauungen, verfolgt. Die vom Beschwerdeführer geschilderten Übergriffe müssen als Folgewirkungen des im Mai 2009 zu Ende gegangenen bewaffneten Konfliktes in Sri Lanka angesehen werden. Die Ausnutzung einer Nachkriegssituation durch Personen mit kriminellen Absichten ist nämlich - wie oben ausgeführt - eine bedauerliche "Nebenfolge" eines jeden Bürgerkrieges. Auch für den Fall, dass es sich bei den vom Beschwerdeführer geschilderten bewaffneten Personen um Mitglieder der LTTE handeln sollte, sind hinter den Erpressungen dieser Personen rein kriminelle - und nicht politische oder ähnliche - Motive zu vermuten. Aus den Angaben des Beschwerdeführers kann also insgesamt nicht auf eine unmittelbare Gefahr für Leib und Leben oder für die Freiheit des Beschwerdeführers aus einem Grund nach Art. 3 Abs. 1 AsylG geschlossen werden (Art. 20 Abs. 3 AsylG).</w:t>
      </w:r>
    </w:p>
    <w:p>
      <w:r>
        <w:rPr>
          <w:b/>
        </w:rPr>
        <w:t>E. 4.3</w:t>
      </w:r>
    </w:p>
    <w:p>
      <w:r>
        <w:t>Bei dieser Sachlage kann letztlich offen bleiben, ob eine landesweite asylrechtlich relevante Verfolgung durch die LTTE und andere bewaffnete Gruppen gegenwärtig tatsächlich ausgeschlossen werden kann. Ebenso kann offengelassen werden, ob der bei nichtstaatlichen Verfolgungen durch den Heimatstaat zu gewährleistende Schutz gemäss der Schutztheorie im vorliegenden Fall als ausreichend zu qualifizieren ist (vgl. EMARK 2006 Nr. 18 E. 10.2 und 10.3).</w:t>
      </w:r>
    </w:p>
    <w:p>
      <w:r>
        <w:rPr>
          <w:b/>
        </w:rPr>
        <w:t>E. 4.4</w:t>
      </w:r>
    </w:p>
    <w:p>
      <w:r>
        <w:t>Nach dem Gesagten ist zusammenfassend festzuhalten, dass der Beschwerdeführer aufgrund der Akten keine aktuelle Gefährdung beziehungsweise konkreten Hinweise auf eine künftige asylrechtlich relevante Verfolgung darzulegen vermochte. Die von ihm geltend gemachte Furcht vor Übergriffen durch eine ihm unbekannte bewaffnete Gruppierung erscheint nicht derart zu sein, dass ihm im asylrechtlichen Sinne der Verbleib im Heimatstaat nicht zugemutet werden könnte (vgl. Art. 20 Abs. 2 AsylG). Unter diesen Umständen hat die Vorinstanz dem Beschwerdeführer zu Recht die Erteilung der Einreisebewilligung verweigert und das Asylgesuch abgewiesen.</w:t>
      </w:r>
    </w:p>
    <w:p>
      <w:r>
        <w:rPr>
          <w:b/>
        </w:rPr>
        <w:t>E. 5</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6</w:t>
      </w:r>
    </w:p>
    <w:p>
      <w:r>
        <w:t>Bei diesem Ausgang des Verfahrens wären die Kosten dem Beschwerdeführer aufzuerlegen (Art. 63 Abs. VwVG). Aus verwaltungsökonomischen Gründen und in Anwendung von Art. 6 des Reglements vom 21. Februar 2008 über die Kosten und Entschädigungen vor dem Bundesverwaltungsgericht (VGKE, SR 173.320.2) ist allerdings auf die Erhebung von diesen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