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E-8750/2007 vom 28. Februar 2011</w:t>
      </w:r>
    </w:p>
    <w:p>
      <w:r>
        <w:t>Bundesverwaltungsgericht, 2011-02-28, DE</w:t>
      </w:r>
    </w:p>
    <w:p>
      <w:r>
        <w:rPr>
          <w:b/>
        </w:rPr>
        <w:t xml:space="preserve">Quelle: </w:t>
      </w:r>
      <w:r>
        <w:t>https://mcp.opencaselaw.ch/entscheid/bvger_E-8750_2007</w:t>
      </w:r>
    </w:p>
    <w:p>
      <w:r>
        <w:t>FR: TAF E-8750/2007 du 28 février 2011</w:t>
      </w:r>
    </w:p>
    <w:p>
      <w:r>
        <w:t>IT: TAF E-8750/2007 del 28 febbraio 2011</w:t>
      </w:r>
    </w:p>
    <w:p>
      <w:pPr>
        <w:pStyle w:val="Heading2"/>
      </w:pPr>
      <w:r>
        <w:t>Regeste</w:t>
      </w:r>
    </w:p>
    <w:p>
      <w:r>
        <w:t>Nichteintreten auf Asylgesuch (erneutes Asylverfahren Schweiz) und Wegweisung</w:t>
      </w:r>
    </w:p>
    <w:p>
      <w:pPr>
        <w:pStyle w:val="Heading2"/>
      </w:pPr>
      <w:r>
        <w:t>Erwägungen</w:t>
      </w:r>
    </w:p>
    <w:p>
      <w:r>
        <w:rPr>
          <w:b/>
        </w:rPr>
        <w:t>E. 2</w:t>
      </w:r>
    </w:p>
    <w:p>
      <w:r>
        <w:t>Das Bundesverwaltungsgericht beschränkt sich bei der Beurteilung von Beschwerden gegen Nichteintretensentscheide in konstanter Praxis auf die Überprüfung der Frage, ob die Vorinstanz zu Recht auf das Asylgesuch nicht eingetreten ist.</w:t>
      </w:r>
    </w:p>
    <w:p>
      <w:r>
        <w:rPr>
          <w:b/>
        </w:rPr>
        <w:t>E. 3</w:t>
      </w:r>
    </w:p>
    <w:p>
      <w:r>
        <w:t>Mit der Beschwerde wird unter anderem gerügt, die Vorinstanz habe den Anspruch des Beschwerdeführers auf rechtliches Gehör verletzt, indem sie es unterlassen habe, im Anschluss an das zweite Asylgesuch eine Anhörung im Sinne von Art. 29 und Art. 30 AsylG durchzuführen. Da der Anspruch auf rechtliches Gehör verfahrensrechtlicher Natur ist und seine Verletzung grundsätzlich die Aufhebung des angefochtenen Entscheids nach sich zieht, wäre dieser Frage an sich vor allfälligen weiteren Erwägungen nachzugehen. Indessen erübrigt sich die Auseinandersetzung mit dieser Frage im vorliegenden Verfahren, da die nachfolgenden Erwägungen aus anderen Gründen zum Schluss führen, dass die angefochtene Verfügung aufzuheben ist.</w:t>
      </w:r>
    </w:p>
    <w:p>
      <w:r>
        <w:rPr>
          <w:b/>
        </w:rPr>
        <w:t>E. 4.1</w:t>
      </w:r>
    </w:p>
    <w:p>
      <w:r>
        <w:t>Die vorliegende Beschwerde richtet sich explizit gegen den Nichteintretensentscheid des BFM vom 28. November 2007 und die Zwischenverfügung vom 2. November 2007, mit welcher das BFM einen Gebührenvorschuss erhob. Weil die Zwischenverfügung erst mit der Endverfügung angefochten werden kann (vgl. Art. 6 AsylG i.V.m. Art. 46 Abs. 2 VwVG; BVGE 2007/18 E. 4.5 S. 218), ist erst zu diesem Zeitpunkt - indessen vorab - zu überprüfen, ob die Voraussetzungen für die Erhebung eines Gebührenvorschusses nach Art. 17b Abs. 4 erfüllt waren, beziehungsweise das Asylgesuch zu Recht als von vornherein aussichtslos qualifiziert worden ist. Auf Beschwerdeebene ist somit hinsichtlich dieser Frage eine materielle Prüfung vorzunehmen und im Falle der Unbegründetheit die Beschwerde gutzuheissen, die angefochtene Verfügungen aufzuheben und die Sache an das BFM zur Neubeurteilung zurückzuweisen.</w:t>
      </w:r>
    </w:p>
    <w:p>
      <w:r>
        <w:rPr>
          <w:b/>
        </w:rPr>
        <w:t>E. 4.2</w:t>
      </w:r>
    </w:p>
    <w:p>
      <w:r>
        <w:t>Gemäss Art. 17b Abs. 4 AsylG kann das BFM von der gesuchstellenden Person einen Gebührenvorschuss in der Höhe der mutmasslichen Verfahrenskosten verlangen und setzt zu dessen Leistung unter Androhung des Nichteintretens eine angemessene Frist, wenn diese nach rechtskräftigem Abschluss ihres Asyl- und Wegweisungsverfahrens oder nach Rückzug ihres Asylgesuchs ein Erneutes stellt, unter der Voraussetzung, dass sie sich in der Zwischenzeit nicht in ihren Heimatstaat begeben hat. Auf einen Gebührenvorschuss wird verzichtet, wenn die Voraussetzungen nach Absatz 2 gegeben sind, das heisst, wenn die gesuchstellende Person bedürftig ist und ihre Begehren nicht von vornherein aussichtslos erscheinen (Bst. a) oder im Verfahren mit unbegleiteten Minderjährigen, wenn das Wiedererwägungsgesuch beziehungsweise das zweite Asylgesuch nicht von vornherein aussichtslos erscheint (Bst. b).</w:t>
      </w:r>
    </w:p>
    <w:p>
      <w:r>
        <w:rPr>
          <w:b/>
        </w:rPr>
        <w:t>E. 4.2.1</w:t>
      </w:r>
    </w:p>
    <w:p>
      <w:r>
        <w:t>Gemäss schriftlicher Eingabe des zweiten Asylgesuchs ist davon auszugehen, dass der Beschwerdeführer nach seinem ersten, rechtskräftig entschiedenen negativen Asylgesuch mit überwiegender Wahrscheinlichkeit nicht in seinen Heimatstaat zurückgekehrt ist, zumal dem zweiten Asylgesuch keine derartigen Ausführungen zu entnehmen sind, und der Beschwerdeführer auch nach der Erhebung eines Gebührenvorschusses nicht geltend gemacht hat, er sei zwischenzeitlich in seinen Heimatstaat zurückgekehrt. Deshalb ist nach dem Gesagten grundsätzlich die Voraussetzung von Art. 17b Abs. 4 AsylG für die Erhebung eines Gebührenvorschusses erfüllt.</w:t>
      </w:r>
    </w:p>
    <w:p>
      <w:r>
        <w:rPr>
          <w:b/>
        </w:rPr>
        <w:t>E. 4.2.2</w:t>
      </w:r>
    </w:p>
    <w:p>
      <w:r>
        <w:t>Demgegenüber ist die Bedürftigkeit des Beschwerdeführers aktenkundig (vgl. Fürsorgebestätigung vom 30. Mai 2007).</w:t>
      </w:r>
    </w:p>
    <w:p>
      <w:r>
        <w:rPr>
          <w:b/>
        </w:rPr>
        <w:t>E. 4.2.3</w:t>
      </w:r>
    </w:p>
    <w:p>
      <w:r>
        <w:t>Es bleibt zu prüfen, ob die Vorinstanz das zweite Asylgesuch des Beschwerdeführers zu Recht als aussichtslos beurteilt hat.</w:t>
      </w:r>
    </w:p>
    <w:p>
      <w:r>
        <w:rPr>
          <w:b/>
        </w:rPr>
        <w:t>E. 4.2.3.1</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allein deshalb anstrengen können, weil er sie nichts kostet (BGE 128 I 225 E. 2.5.3 S. 236 mit Hinweis). Für die Beurteilung der Prozesschancen ist eine summarische Prüfung vorzunehmen.</w:t>
      </w:r>
    </w:p>
    <w:p>
      <w:r>
        <w:rPr>
          <w:b/>
        </w:rPr>
        <w:t>E. 4.2.3.2</w:t>
      </w:r>
    </w:p>
    <w:p>
      <w:r>
        <w:t>Der Beschwerdeführer rügt in seiner Rechtsmitteleingabe im Wesentlichen, die Vorinstanz habe zu Unrecht die geltend gemachten exilpolitischen Tätigkeiten als aussichtslos qualifiziert und - trotz seiner ausgewiesenen Bedürftigkeit - einen Gebührenvorschuss erhoben. Die subjektiven Nachfluchtgründe seien nicht bloss in den Raum gestellt worden, sondern mit einschlägigem Bildmaterial und anderen Beweismitteln habe eine konkrete Vorstellung davon vermittelt werden können, worin dessen exilpolitischen Aktivitäten in der Schweiz bestehen würden. Die Einschätzung, wonach seine exilpolitische Aktivität nicht geeignet sei, die Flüchtlingseigenschaft zu begründen, sei unzutreffend. Des Weiteren bestätigte er die Vorbringen im zweiten Asylgesuch, auf welche zwecks Vermeidung von Wiederholungen verwiesen wird (vgl. dazu vorliegender Sachverhalt Bst. B).</w:t>
      </w:r>
    </w:p>
    <w:p>
      <w:r>
        <w:rPr>
          <w:b/>
        </w:rPr>
        <w:t>E. 4.2.3.3</w:t>
      </w:r>
    </w:p>
    <w:p>
      <w:r>
        <w:t>Hinsichtlich des geltend gemachten Engagements für die KINJIT/CUDP ist Folgendes festzustellen: Gemäss den Erkenntnissen des Bundesverwaltungsgerichts ist davon auszugehen, dass die äthiopischen Sicherheitsbehörden die Aktivitäten der jeweiligen Exilgemeinschaften mit einer gewissen Intensität überwachen und zudem in elektronischen Datenbanken erfassen. Insbesondere seit den Wahlen im Jahr 2005 wurde die Überwachung der politischen Aktivitäten in der Diaspora erheblich ausgeweitet. Es ist zu vermuten, dass die betreffenden Datenbanken nicht nur Informationen über führende politische Aktivisten in der Diaspora enthalten, sondern auch weniger exponierte Mitglieder der Oppositionsparteien erfassen. Unter diesen Umständen besteht eine beträchtliche Wahrscheinlichkeit, dass die exilpolitischen Aktivitäten einer Person, welche im Ausland zugunsten der CUDP tätig war, im Falle ihrer zwangsweisen Rückkehr spätestens dem äthiopischen Sicherheitsdienst am Flughafen bekannt würden. Somit ist davon auszugehen, dass Rückkehrende, die zumindest vorübergehend in der Auslands-CUDP tätig waren, mit grosser Wahrscheinlichkeit nach ihrer Einreise zumindest zu ihren politischen Aktivitäten im Ausland und allgemein zu den Aktivitäten der CUDP in ihrem Umfeld befragt werden. Tatsächliche oder vermutete mangelnde Kooperationsbereitschaft sowie eine allfällige spätere erneute politische Auffälligkeit könnten in diesem Fall zur Einleitung weitergehender Verfolgungsmassnahmen führen. Die Frage, ob der Beschwerdeführer aufgrund seiner exilpolitischen Aktivitäten im Falle seiner Rückkehr nach Äthiopien einer flüchtlingsrelevanten Verfolgungsgefahr ausgesetzt sein könnte, ist gestützt auf die vorgenannten Ausführungen nicht zum vornherein zu verneinen. Das BFM hat die Gewinnchancen des Asylgesuchs zu Unrecht als beträchtlich geringer als die Verlustgefahren eingeschätzt.</w:t>
      </w:r>
    </w:p>
    <w:p>
      <w:r>
        <w:rPr>
          <w:b/>
        </w:rPr>
        <w:t>E. 4.2.4</w:t>
      </w:r>
    </w:p>
    <w:p>
      <w:r>
        <w:t>Zusammenfassend ist festzuhalten, dass das BFM die Vorbringen des Beschwerdeführers ungerechtfertigterweise als von vornherein aussichtslos bezeichnet und einen Gebührenvorschuss verlangt hat. Folglich ist auch der Nichteintretensentscheid wegen Nichtleistung des Gebührenvorschusses zu Unrecht erfolgt. Gestützt auf die vorstehenden Erwägungen hätte das BFM im vorliegenden Verfahren vielmehr auf die Erhebung eines Kostenvorschusses verzichten und über das zweite Asylgesuch - gegebenenfalls auch nach durchgeführter Anhörung (vgl. BVGE 2009/53; EMARK 2006 Nr. 20) - entscheiden müssen.</w:t>
      </w:r>
    </w:p>
    <w:p>
      <w:r>
        <w:rPr>
          <w:b/>
        </w:rPr>
        <w:t>E. 4.3</w:t>
      </w:r>
    </w:p>
    <w:p>
      <w:r>
        <w:t>Die Beschwerde ist aufgrund des Gesagten insoweit gutzuheissen, als die Verfügungen des BFM vom 2. November 2007 (Feststellung der Aussichtslosigkeit und Erhebung eines Gebührenvorschusses) sowie die darauf basierende Verfügung vom 28. November 2007 (Nichteintreten auf das zweite Asylgesuch infolge Nichtleistung des verlangten Gebührenvorschusses) aufgehoben werden und die Sache in Anwendung von Art. 61 Abs. 1 in fine VwVG zur Wiederaufnahme des Asylverfahrens im Sinne der Erwägungen an die Vorinstanz zurückgewiesen wird.</w:t>
      </w:r>
    </w:p>
    <w:p>
      <w:r>
        <w:rPr>
          <w:b/>
        </w:rPr>
        <w:t>E. 5.1</w:t>
      </w:r>
    </w:p>
    <w:p>
      <w:r>
        <w:t>Bei diesem Ausgang des Verfahrens sind keine Kosten zu erheben (Art. 63 Abs. 3 VwVG i.V.m. Art. 37 VGG).</w:t>
      </w:r>
    </w:p>
    <w:p>
      <w:r>
        <w:rPr>
          <w:b/>
        </w:rPr>
        <w:t>E. 5.2</w:t>
      </w:r>
    </w:p>
    <w:p>
      <w:r>
        <w:t>Dem obsiegenden Beschwerdeführer ist in Anwendung von Art. 64 Abs. 1 VwVG i.V.m. Art. 7 des Reglements vom 21. Februar 2008 über die Kosten und Entschädigungen vor dem Bundesverwaltungsgericht (VGKE, SR 173.320.2)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Parteientschädigung von Amtes wegen auf pauschal Fr. 700.-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