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E-873/2016 vom 12. April 2016</w:t>
      </w:r>
    </w:p>
    <w:p>
      <w:r>
        <w:t>Bundesverwaltungsgericht, 2016-04-12, DE</w:t>
      </w:r>
    </w:p>
    <w:p>
      <w:r>
        <w:rPr>
          <w:b/>
        </w:rPr>
        <w:t xml:space="preserve">Quelle: </w:t>
      </w:r>
      <w:r>
        <w:t>https://mcp.opencaselaw.ch/entscheid/bvger_E-873_2016</w:t>
      </w:r>
    </w:p>
    <w:p>
      <w:r>
        <w:t>FR: TAF E-873/2016 du 12 avril 2016</w:t>
      </w:r>
    </w:p>
    <w:p>
      <w:r>
        <w:t>IT: TAF E-873/2016 del 12 aprile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2.2</w:t>
      </w:r>
    </w:p>
    <w:p>
      <w:r>
        <w:t>Die Beschwerde hat aufschiebende Wirkung von Gesetzes wegen und die Vorinstanz hat sie nicht entzogen (Art. 55 Abs. 1 und 2 VwVG). Der Antrag betreffend aufschiebende Wirkung ist gegenstandslos.</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Das Bundesverwaltungsgericht hat die Anforderungen an das Glaubhaftmachen der Vorbringen in einem publizierten Entscheid dargelegt und folgt dabei ständiger Praxis. Darauf kann hier verwiesen werden (BVGE 2010/57 E. 2.2 und 2.3).</w:t>
      </w:r>
    </w:p>
    <w:p>
      <w:r>
        <w:rPr>
          <w:b/>
        </w:rPr>
        <w:t>E. 4.1</w:t>
      </w:r>
    </w:p>
    <w:p>
      <w:r>
        <w:t>Die Vorinstanz führt in der angefochtenen Verfügung aus, die geltend gemachten Verfolgungsmassnahmen würden den Anforderungen an die Glaubhaftmachung gemäss Art. 7 AsylG nicht standhalten. Seine Unterstützung für die LTTE könne dem Beschwerdeführer aufgrund verschiedener Widersprüche nicht geglaubt werden. Seine angeblichen Probleme mit der SLA seien ein Nachschub. Weiter verstricke er sich in zahlreiche Widersprüche und äussere sich substanzarm. Zudem seien seine Vorbringen nicht schlüssig, er antworte ausweichend und könne nicht überzeugend darlegen, dass er bei seiner Familie gesucht werde. Das Schreiben der Human Rights Commission habe ausschliesslich den Charakter eines Gefälligkeitsschreibens. Weitere Vorbringen des Beschwerdeführers (Haftaufenthalte wegen illegalem Sandtransport und unleserlicher Identitätskarte) seien nicht asylrelevant. Er verfüge über kein Profil, welches die Annahme rechtfertigen würde, dass er bei einer Rückkehr nach Sri Lanka begründete Furcht vor Verfolgungsmassnahmen habe.</w:t>
      </w:r>
    </w:p>
    <w:p>
      <w:r>
        <w:rPr>
          <w:b/>
        </w:rPr>
        <w:t>E. 4.2</w:t>
      </w:r>
    </w:p>
    <w:p>
      <w:r>
        <w:t>Der Beschwerdeführer wendet dagegen ein, seine Vorbringen seien plausibel, substantiiert und gut begründet. Ein Nachschub könne ihm nicht vorgeworfen werden, da er in der BzP angehalten worden sei, seine Vorbringen summarisch zu erzählen. Die von ihm gemachten Aussagen seien zwar nicht vollständig übereinstimmend, im Grundsatz mache er jedoch stets dieselben Vorbringen, die als glaubhaft eingeschätzt werden müssten. Die Vorinstanz berufe sich einseitig auf kleinere, bei Betrachten des gesamten Sachverhalts nicht relevante, Widersprüche. Die klaren Argumente, die für die Glaubhaftigkeit seiner Aussagen sprechen würden, berücksichtige sie nicht. Zudem würden seine Aussagen zahlreiche Realkennzeichen aufweisen.</w:t>
      </w:r>
    </w:p>
    <w:p>
      <w:r>
        <w:rPr>
          <w:b/>
        </w:rPr>
        <w:t>E. 4.3</w:t>
      </w:r>
    </w:p>
    <w:p>
      <w:r>
        <w:t>Die Beweiswürdigung der Vorinstanz ist nicht zu beanstanden. Sie hat den Massstab des Glaubhaftmachens nicht verkannt und ihn auf den vorliegenden Fall korrekt angewendet. In der angefochtenen Verfügung wird einlässlich begründet, warum die Vorbringen des Beschwerdeführers im Einzelnen unglaubhaft ausgefallen und andere Vorbringen nicht asylrelevant sind.</w:t>
      </w:r>
    </w:p>
    <w:p>
      <w:r>
        <w:rPr>
          <w:b/>
        </w:rPr>
        <w:t>E. 4.3.1</w:t>
      </w:r>
    </w:p>
    <w:p>
      <w:r>
        <w:t>Der Beschwerdeführer bringt vor, er habe Probleme mit der SLA gehabt, weil diese Holzstücke von einem Tempel habe mitnehmen wollen. Dies habe schliesslich dazu geführt, dass er seinen Traktor mehrfach habe zur Verfügung stellen müssen. Dazu stellt die Vorinstanz zutreffend fest, dass es sich um einen Nachschub handle und der vom Beschwerdeführer geschilderte Zusammenhang zwischen dem Vorfall beim Tempel und dem Traktor von ihm nicht überzeugend habe dargelegt werden können. Gemäss dem Beschwerdeführer war dieser Vorfall der Grund, weshalb er seinen Traktor habe abgeben müssen, mitunter handelt es sich um ein zentrales Vorbringen seiner Fluchtgründe. Dass er dies nicht bereits an der BzP zumindest ansatzweise erwähnt hat, kann er mit dem summarischen Charakter der ersten Befragung nicht erklären, zumal er bereits dort ausführlich zu seinen Gesuchsgründen Auskunft gab (SEM-Akten, A3/11 S. 7 f.). Inwiefern dieser Vorfall dazu geführt hat, dass er seinen Traktor habe mehrfach abgeben müssen, kann er nicht nachvollziehbar erklären (SEM-Akten, A10/22 F114 ff.). Der Umstand, dass er den Vorfall anlässlich der Erstbefragung nicht erwähnte, zeigt aber deutlich, dass er ihm keine besondere Bedeutung zumass. Aufgrund des Aussageverhaltens steht fest, dass ein Kausalzusammenhang zwischen dem Vorfall beim Tempel und dem Traktor nicht glaubhaft gemacht ist. Unglaubhaft ist auch die Schilderung des Vorfalls selbst, zumal die militärischen Behörden ja ohne weiteres die Möglichkeit gehabt hätten, den Traktor einfach zu beschlagnahmen.</w:t>
      </w:r>
    </w:p>
    <w:p>
      <w:r>
        <w:rPr>
          <w:b/>
        </w:rPr>
        <w:t>E. 4.3.2</w:t>
      </w:r>
    </w:p>
    <w:p>
      <w:r>
        <w:t>Die Probleme mit der SLA datiert der Beschwerdeführer widersprüchlich. In der BzP bringt er vor, am 5. März 2014 hätten ihn zwei Personen der SLA aufgefordert, seinen Traktor abzugeben. Am 7. März 2014 sei er sodann aufgefordert worden, sich im Camp zu melden (SEM-Akten, A3/11 S. 7). In der Anhörung gibt er einerseits zu Protokoll, er sei am 6. März 2014 aufgefordert worden, sich zu melden, woraufhin er hingegangen sei (SEM-Akten, A10/22 F70), andererseits sei er am 7. März 2014 aufgefordert worden ins Camp zu gehen, was er am 8. März 2014 getan habe (SEM-Akten, A10/22 F143). Auch bezüglich der zweiten Vorladung macht der Beschwerdeführer unterschiedliche Angaben. Einerseits sei er am 14. März 2014 erneut vorgeladen worden und hätte am selben Tag vorbeigehen müssen (SEM-Akten, A3/11 S. 8). Andererseits habe er erst am 15. März 2014 zu einer erneuten Befragung im Camp erscheinen müssen (SEM-Akten, A10/22 F70). Diese Widersprüche kann der Beschwerdeführer weder in der Anhörung (SEM-Akten, A10/20 F152 ff.) noch in seiner Beschwerdeschrift erklären.</w:t>
      </w:r>
    </w:p>
    <w:p>
      <w:r>
        <w:rPr>
          <w:b/>
        </w:rPr>
        <w:t>E. 4.3.3</w:t>
      </w:r>
    </w:p>
    <w:p>
      <w:r>
        <w:t>Auch dass nach ihm gesucht werde, konnte der Beschwerdeführer nicht glaubhaft darlegen. So widerspricht er sich bezüglich der Anzahl Motorräder, mit denen die Soldaten bei ihm erschienen seien, und ob er die Soldaten gesehen habe (vgl. dazu SEM-Akten, A3/11 S. 8 und A10/20 F70 und F161). Dass die Soldaten Stunden vor seinem Haus gewartet hätten, ohne ins Haus gekommen zu sein, bezeichnet die Vorinstanz zutreffend als realitätsfremd. Realitätsfremd ist namentlich die Behauptung, dass die Soldaten nur vor der Haustür gewartet hätten, er sich aber durch die Hintertür problemlos einem Zugriff habe entziehen können (SEM-Akten, A10 S. 17) Auch dass nach seiner Ausreise nach ihm gesucht worden sei, kann der Beschwerdeführer nicht überzeugend darlegen. Hierzu und bezüglich weiterer Widersprüche und Unstimmigkeiten ist auf die zutreffenden Ausführungen in der angefochtenen Verfügung zu verweisen. Dies gilt auch für seine beiden Gefängnisaufenthalte, welche offensichtlich nicht asylrelevant sind.</w:t>
      </w:r>
    </w:p>
    <w:p>
      <w:r>
        <w:rPr>
          <w:b/>
        </w:rPr>
        <w:t>E. 4.3.4</w:t>
      </w:r>
    </w:p>
    <w:p>
      <w:r>
        <w:t>Die Vorinstanz erwägt in rechtlicher Hinsicht, dass der Beschwerdeführer bei der Rückkehr - trotz Zugehörigkeit zur tamilischen Ethnie, Landesabwesenheit und Herkunft - keine begründete Furcht habe, staatlichen Verfolgungsmassnahmen ausgesetzt zu sein. Deshalb habe der Beschwerdeführer keine Massnahmen zu befürchten, die über einen sogenannten "background check" (Befragung und Überprüfung von Tätigkeiten im In- und Ausland) hinausgingen. Nachdem die Aussagen des Beschwerdeführers unglaubhaft ausgefallen sind, kann er aus dem UNHCR-Bericht, wonach bereits niederschwellige Unterstützungen der LTTE Verfolgungsmassnahmen auslösen können, nichts zu seinen Gunsten ableiten. Die Beschwerde begnügt sich denn auch damit, vergangenen Menschrechtsverletzungen im Allgemeinen zu verweisen. Er zeigt jedoch nicht auf, inwiefern ihm persönlich im Falle einer Rückkehr ein ernsthafter Nachteil im Sinne von Art. 3 AsylG drohen könnte. Solches lässt sich auch nicht annehmen.</w:t>
      </w:r>
    </w:p>
    <w:p>
      <w:r>
        <w:rPr>
          <w:b/>
        </w:rPr>
        <w:t>E. 4.4</w:t>
      </w:r>
    </w:p>
    <w:p>
      <w:r>
        <w:t>Der Beschwerdeführer hat somit nichts vorgebracht, was geeignet wäre, die Flüchtlingseigenschaft nachzuweisen oder zumindest glaubhaft zu machen. Die Vorinstanz hat sein Asylgesuch zu Recht abgelehnt.</w:t>
      </w:r>
    </w:p>
    <w:p>
      <w:r>
        <w:rPr>
          <w:b/>
        </w:rPr>
        <w:t>E. 5</w:t>
      </w:r>
    </w:p>
    <w:p>
      <w:r>
        <w:t>Gemäss Art. 44 AsylG verfügt das Staatssekretariat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das Staatssekretariat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zurückkehrenden Tamilen drohe in Sri Lanka eine unmenschliche Behandlung. Eine Risikoeinschätzung müsse im Einzelfall vorgenommen werden (Urteil des EGMR R.J. gegen Frankreich vom 19. September 2013, 10466/11, Ziff. 37). Aus den Akten ergeben sich keine konkreten Anhaltspunkte dafür, dass der Beschwerdeführer für den Fall einer Ausschaffung nach Sri Lanka dort mit beachtlicher Wahrscheinlichkeit einer nach Art. 3 EMRK oder FoK verbotenen Strafe oder Behandlung ausgesetzt wäre. Der Vollzug der Wegweisung ist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wurde im Mai 2009 beendet. Dennoch hat sich die Situation im ehemalige Kriegsgebiet der Nordprovinz (sog. Vanni-Gebiet; BVGE 2011/24 E. 13.2.2.1) kaum verändert. Der Vollzug dorthin ist weiterhin grundsätzlich unzumutbar, es sei denn, dass eine zumutbare innerstaatliche Aufenthaltsalternative besteht. Die Zumutbarkeit ist zu bejahen, wenn individuelle Zumutbarkeitskriterien (tragfähige familiäres oder soziales Beziehungsnetz sowie Aussichten auf eine gesicherte Einkommens- und Wohnsituation) vorliegen. Hingegen ist der Wegweisungsvollzug in die Ostprovinz grundsätzlich zumutbar, doch sind auch hier die individuellen Zumutbarkeitskriterien zu berücksichtigen. Der Beschwerdeführer stammt aus B._______ in der Nordprovinz (Distrikt Jaffna); seinen letzten Wohnsitz hatte in C._______ (Distrikt Trincomalee), wo er bei einer Schwester untergebracht war. Er ist ein junger gesunder Mann im besten Arbeitsalter und hat als Traktorfahrer für Transportleistungen stets ein Auskommen gefunden. Unter diesen Umständen ist davon auszugehen, dass er bei einer Rückkehr eine gesicherte Einkommenssituation finden wird. Ausserdem leben seine Ehefrau zusammen mit den gemeinsamen fünf Kindern in B._______, ebenso seine Eltern und drei seiner Geschwister. Damit verfügt er über auch über ein breites Beziehungsnetz, weshalb die individuellen Zumutbarkeitskriterien zu bejahen sind. Darüber hinaus steht ihm eine innerstaatliche Aufenthaltsalternative in C._______ offen, wo er sich bei einer Schwester vor der Ausreise über drei Monate aufhielt. Offenbar hatte er dort nicht nur seinen Wohnsitz, sondern verfügte auch über die Möglichkeit, ein regelmässiges Einkommen zu erzielen, sowie über soziale Kontakte. Deshalb ist davon auszugehen, dass der Beschwerdeführer nach der Rückkehr sich erneut und erfolgreich in C._______ installieren kann, wenn er nicht zu seiner Familien zurückkehren will. Die Zumutbarkeitskriterien sind damit sowohl für seinen letzten Wohnsitz als auch für seine Geburtsstadt, wo seine Familie wohnt, erfüllt, weshalb der Wegweisungsvollzug zumutbar ist.</w:t>
      </w:r>
    </w:p>
    <w:p>
      <w:r>
        <w:rPr>
          <w:b/>
        </w:rPr>
        <w:t>E. 6.4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6.5</w:t>
      </w:r>
    </w:p>
    <w:p>
      <w:r>
        <w:t>Zusammenfassend hat die Vorinstanz den Vollzug der Wegweisung zutreffend als zulässig, zumutbar und möglich bezeichnet, womit die Anordnung einer vorläufigen Aufnahme ausser Betracht fällt (Art. 83 Abs. 1 AuG).</w:t>
      </w:r>
    </w:p>
    <w:p>
      <w:r>
        <w:rPr>
          <w:b/>
        </w:rPr>
        <w:t>E. 7</w:t>
      </w:r>
    </w:p>
    <w:p>
      <w:r>
        <w:t>Aus diesen Erwägungen ergibt sich, dass die angefochtene Verfügung Bundesrecht nicht verletzt und auch sonst nicht zu beanstanden ist (Art. 106 AsylG; Art. 49 VwVG). Die Beschwerde ist abzuweisen.</w:t>
      </w:r>
    </w:p>
    <w:p>
      <w:r>
        <w:rPr>
          <w:b/>
        </w:rPr>
        <w:t>E. 8.1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8.2</w:t>
      </w:r>
    </w:p>
    <w:p>
      <w:r>
        <w:t>Bei diesem Ausgang des Verfahrens sind die Kosten von Fr. 600.- (Art. 1-3 des Reglements vom 21. Februar 2008 über die Kosten und Entschädigungen vor dem Bundesverwaltungsgericht [VGKE, SR 173.320.2]) dem Beschwerdeführer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