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E-8724/2010 vom 30. September 2011</w:t>
      </w:r>
    </w:p>
    <w:p>
      <w:r>
        <w:t>Bundesverwaltungsgericht, 2011-09-30, FR</w:t>
      </w:r>
    </w:p>
    <w:p>
      <w:r>
        <w:rPr>
          <w:b/>
        </w:rPr>
        <w:t xml:space="preserve">Quelle: </w:t>
      </w:r>
      <w:r>
        <w:t>https://mcp.opencaselaw.ch/entscheid/bvger_E-8724_2010</w:t>
      </w:r>
    </w:p>
    <w:p>
      <w:r>
        <w:t>FR: TAF E-8724/2010 du 30 septembre 2011</w:t>
      </w:r>
    </w:p>
    <w:p>
      <w:r>
        <w:t>IT: TAF E-8724/2010 del 30 settembre 2011</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de la loi du 17 juin 2005 sur le Tribunal fédéral (LTF, RS 173.110) s'appliquent par analogie à la révision des arrêts du Tribunal.</w:t>
      </w:r>
    </w:p>
    <w:p>
      <w:r>
        <w:rPr>
          <w:b/>
        </w:rPr>
        <w:t>E. 1.3</w:t>
      </w:r>
    </w:p>
    <w:p>
      <w:r>
        <w:t>Ayant fait l'objet l'arrêt mis en cause par la présente demande de révision, le requérant a qualité pour agir. Présentée dans la forme (cf. art. 67 al. 3 PA, applicable par renvoi de l'art. 47 LTAF) prescrite par la loi, ladite demande est recevable.</w:t>
      </w:r>
    </w:p>
    <w:p>
      <w:r>
        <w:rPr>
          <w:b/>
        </w:rPr>
        <w:t>E. 2</w:t>
      </w:r>
    </w:p>
    <w:p>
      <w:r>
        <w:t>Aux termes de l'art. 123 al. 2 LTF,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w:t>
      </w:r>
    </w:p>
    <w:p>
      <w:r>
        <w:rPr>
          <w:b/>
        </w:rPr>
        <w:t>E. 3.1</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Berne 2009, n° 18 ad art. 123 LTF). Cela implique aussi qu'il doit avoir fait preuve de toute la diligence que l'on peut exiger de lui. Celle-ci fera en particulier défaut si la découverte du fait ou du moyen de preuve est le fruit de recherches qui auraient pu et dû être effectuées plus tôt (cf. arrêt du Tribunal fédéral 9F_2/2010 du 27 mai 2010, consid. 1 et la référence).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Tribunal fédéral 4A_144/2010 du 28 septembre 2010, consid. 2.1.2 et les renvois). La voie de la révision ne permet pas de rediscuter l'argumentation juridique contenue dans l'arrêt dont la révision est demandée (cf. arrêt du Tribunal fédéral 6B_1062/2009 du 3 novembre 2010, consid. 5.1.1 ; ATAF 2007/21 consid. 7.2 et 8.1 ; Jurisprudence et informations de la Commission suisse de recours en matière d'asile [JICRA] 2003 n° 17 consid. 2b, JICRA 1993 n° 18 consid. 2a et 3a et JICRA 1993 n° 4 consid. 5).</w:t>
      </w:r>
    </w:p>
    <w:p>
      <w:r>
        <w:rPr>
          <w:b/>
        </w:rPr>
        <w:t>E. 3.2</w:t>
      </w:r>
    </w:p>
    <w:p>
      <w:r>
        <w:t>Le requérant n'ayant pas indiqué à quel moment il est entré en possession du mandat d'arrêt joint à sa demande, il est impossible de déterminer s'il a été déposé dans le délai légal de 90 jours suivant sa découverte (art. 124 al. 1 let. d LTF) ; vu ce qui suit, cette question peut cependant rester indécise.</w:t>
      </w:r>
    </w:p>
    <w:p>
      <w:r>
        <w:rPr>
          <w:b/>
        </w:rPr>
        <w:t>E. 3.3</w:t>
      </w:r>
    </w:p>
    <w:p>
      <w:r>
        <w:t>En l'espèce, l'intéressé a produit un document qu'il présente comme un moyen de preuve établissant qu'il est toujours recherché par les autorités turques pour des raisons politiques ; cependant, force est de constater que la pièce en cause n'a pas une force probante suffisante. Le Tribunal constate d'abord que le requérant n'a pas expliqué comment le mandat d'arrêt émis par le Ministère public avait pu se retrouver en possession de ses proches, qui n'auraient pas dû avoir communication de ce document adressée par une autorité à une autre. En outre, ce mandat d'arrêt est daté du 25 décembre 2003, soit cinq ans avant la fin de la procédure ordinaire ; or l'intéressé n'a pas non plus exposé ce qui l'avait empêché d'en faire état plus tôt. Le moyen de preuve déposé peut donc être considéré comme tardif. Le Tribunal retient par ailleurs que si la pièce en cause ne présente pas de signes flagrants de falsification ou de fabrication, elle n'en est pas moins douteuse. En effet, il n'est pas crédible qu'une infraction, qui plus est d'ordre politique, commise en 1999, ne soit poursuivie que quatre ans et demi plus tard. De plus, le document ne s'accorde pas avec le récit de l'intéressé : celui-ci a clairement déclaré, en procédure ordinaire (cf. audition du 17 mars 2003, p. 7-8) comme dans sa demande de révision, qu'il avait pris part à plusieurs manifestations jusqu'en 2000, essentiellement au moment de la fête de Newroz, mais toujours à Sanli Urfa, à Diyarbakir, ou dans son village natal ; il a en outre précisé que la manifestation de 1999, tenue à Diyarbakir, s'était déroulée sans violence. Il n'a en revanche jamais dit avoir manifesté à Gaziantep à cette époque, si bien que les faits relatés dans le mandat d'arrêt sont douteux. Enfin, il y a lieu de rappeler que l'intéressé a déjà déposé une demande de révision basée sur un document analogue, à savoir un mandat d'arrêt consécutif à une manifestation tenue durant la fête de Newroz 2002 ; cette demande a été rejetée, vu le caractère peu fiable du document déposé. Ce précédent ne plaide dès lors pas en faveur du sérieux de la présente demande.</w:t>
      </w:r>
    </w:p>
    <w:p>
      <w:r>
        <w:rPr>
          <w:b/>
        </w:rPr>
        <w:t>E. 3.4</w:t>
      </w:r>
    </w:p>
    <w:p>
      <w:r>
        <w:t>Dès lors, la demande de révision apparaît comme infondée ; elle doit donc être rejetée.</w:t>
      </w:r>
    </w:p>
    <w:p>
      <w:r>
        <w:rPr>
          <w:b/>
        </w:rPr>
        <w:t>E. 4</w:t>
      </w:r>
    </w:p>
    <w:p>
      <w:r>
        <w:t>Il y a lieu de mettre les frais de procédure à la charge du requérant (cf. art. 63 al. 1 PA et art. 2 et 3 let. a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