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E-86/2017 vom 7. November 2018</w:t>
      </w:r>
    </w:p>
    <w:p>
      <w:r>
        <w:t>Bundesverwaltungsgericht, 2018-11-07, DE</w:t>
      </w:r>
    </w:p>
    <w:p>
      <w:r>
        <w:rPr>
          <w:b/>
        </w:rPr>
        <w:t xml:space="preserve">Quelle: </w:t>
      </w:r>
      <w:r>
        <w:t>https://mcp.opencaselaw.ch/entscheid/bvger_E-86_2017</w:t>
      </w:r>
    </w:p>
    <w:p>
      <w:r>
        <w:t>FR: TAF E-86/2017 du 7 novembre 2018</w:t>
      </w:r>
    </w:p>
    <w:p>
      <w:r>
        <w:t>IT: TAF E-86/2017 del 7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würden den Anforderungen an die Flüchtlingseigenschaft gemäss Art. 3 AsylG nicht standhalten. Zur Begründung führt sie aus, der Beschwerdeführer habe die schwierige Lage der Christen und die mangelnde Aussicht auf Arbeit und Bildung als Gründe für die Ausreise genannt. Zudem habe er Vorfälle aus seiner Kindheit erwähnt, bei denen er benachteiligt und geschlagen worden sei. Er habe jedoch keine gezielten und gegen ihn gerichteten Verfolgungsmassnahmen geltend gemacht und habe offensichtlich auch keine Benachteiligungen aufgrund seines christlichen Glaubens erlitten. In seinem Fall liege daher keine persönliche Verfolgungssituation vor, weswegen seine Vorbringen nicht als relevant im Sinne des Asylgesetzes zu beurteilen seien. Im Übrigen lebe seine ganze Familie offenbar weiterhin unbehelligt im Heimatstaat.</w:t>
      </w:r>
    </w:p>
    <w:p>
      <w:r>
        <w:rPr>
          <w:b/>
        </w:rPr>
        <w:t>E. 4.2</w:t>
      </w:r>
    </w:p>
    <w:p>
      <w:r>
        <w:t>In der Beschwerde wird zunächst geltend gemacht, die BzP habe ohne Vertrauensperson stattgefunden. An der Anhörung sei diese zwar dabei gewesen, es habe aber kein Vorbereitungsgespräch stattgefunden. Der Aufbau eines Vertrauensverhältnisses zur Vertrauensperson sei daher vorab nicht möglich gewesen. Der Beschwerdeführer sei zudem mit der gesamten Situation schlecht zu Recht gekommen und in der Unterkunft, einer Schutzanlage, habe er sich wie in einem Gefängnis gefühlt. Allfällige Unklarheiten seien unter Berücksichtigung dieser Umstände zu würdigen. Weiter wird vorgebracht, der Beschwerdeführer habe wegen Diskriminierungen, Gewalt und der Tatsache, dass er aus Sicherheitsgründen das Haus kaum habe verlassen können, unter massivem Stress gelitten. Der in Art. 3 AsylG genannte "unerträgliche psychische Druck" müsse altersgerecht ausgelegt werden, wobei den kinderspezifischen Aspekten bei der Würdigung der flüchtlingsrelevanten Verfolgung Rechnung zu tragen sei. Misshandlungen, die bei einem Erwachsenen noch nicht das Ausmass einer Verfolgung erreichen würden, könnten bei einem Kind unter gewissen Umständen bereits eine Verfolgung darstellen.</w:t>
      </w:r>
    </w:p>
    <w:p>
      <w:r>
        <w:rPr>
          <w:b/>
        </w:rPr>
        <w:t>E. 5.1</w:t>
      </w:r>
    </w:p>
    <w:p>
      <w:r>
        <w:t>Zunächst ist festzustellen, dass die Vorbringen des Beschwerdeführers von der Vorinstanz nicht in Frage gestellt wurden. Dem Beschwerdeführer ist demnach auch kein Nachteil daraus erwachsen, dass vor der Anhörung kein Kontakt zu seiner Vertrauensperson aufgebaut werden konnte. Dem Protokoll ist nicht zu entnehmen, dass die Anhörung nicht altersgerecht durchgeführt worden wäre und es geht aus dem Protokoll auch nicht hervor, dass der Beschwerdeführer Schwierigkeiten gehabt hätte, die Fragen zu beantworten. Ferner haben weder die zur Beobachtung und Sicherstellung eines fairen Verfahrens anwesende Hilfswerksvertretung noch die Vertrauensperson entsprechenden Feststellungen gemacht. Die Glaubhaftigkeit der Aussagen des Beschwerdeführers wurde denn auch nicht bezweifelt.</w:t>
      </w:r>
    </w:p>
    <w:p>
      <w:r>
        <w:rPr>
          <w:b/>
        </w:rPr>
        <w:t>E. 5.2</w:t>
      </w:r>
    </w:p>
    <w:p>
      <w:r>
        <w:t>Was die Flüchtlingseigenschaft des Beschwerdeführers betrifft, ist festzuhalten, dass das Bundesverwaltungsgericht in BVGE 2013/12 E. 9.4 festgehalten hat, dass im Irak keine Kollektivverfolgung gegen Christen im Allgemeinen vorliegt und dies in nachfolgenden Urteilen bestätigt wurde (vgl. zuletzt Urteil des BVGer E-5557/2017 vom 8. Dezember 2017). Eingriffe in andere Rechtsgüter als Leib, Leben oder Freiheit gelten dann als Verfolgung, wenn daraus ein unerträglicher psychischer Druck entsteht, der einen weiteren Verbleib im Heimatstaat für die betroffene Person unzumutbar macht.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auch hier aus einem der in Art. 3 Abs. 1 AsylG genannten Motive erfolgen muss. Beruht der psychische Druck demnach einzig auf den gesellschaftlichen, wirtschaftlichen oder ähnlichen Gegebenheiten in einem Staat, ist er selbst dann nicht flüchtlingsrechtlich relevant, wenn die Angehörigen bestimmter politischer, religiöser oder ähnlicher Gruppen besonders darunter leiden.</w:t>
      </w:r>
    </w:p>
    <w:p>
      <w:r>
        <w:rPr>
          <w:b/>
        </w:rPr>
        <w:t>E. 5.3</w:t>
      </w:r>
    </w:p>
    <w:p>
      <w:r>
        <w:t>Die Vorinstanz hat in der angefochtenen Verfügung zu Recht festgestellt, dass die Vorbringen des Beschwerdeführers keine gezielte und gegen ihn gerichtete Verfolgung zu belegen vermögen. Er spricht hauptsächlich von Behelligungen, welche die ganze christliche Bevölkerung betroffen haben. Zwar nennt der Beschwerdeführer einen Vorfall, beim dem sein Vater aufgrund seines christlichen Glaubens entführt worden sei und nennt auch einzelne persönliche Vorfälle aus seiner Kindheit. Dabei ist jedoch unklar, ob die Vorfälle tatsächlich im Zusammenhang mit seiner Religionszugehörigkeit stehen. Jedenfalls reichen diese auch unter angemessener Berücksichtigung des jugendlichen Alters des Beschwerdeführers nicht aus, um eine asylrelevante Verfolgung darzustellen.</w:t>
      </w:r>
    </w:p>
    <w:p>
      <w:r>
        <w:rPr>
          <w:b/>
        </w:rPr>
        <w:t>E. 5.4</w:t>
      </w:r>
    </w:p>
    <w:p>
      <w:r>
        <w:t>Da der Beschwerdeführer demnach die Voraussetzungen für die Zuerkennung der Flüchtlingseigenschaft nicht erfüllt, hat die Vorinstanz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Die Vorinstanz hielt in der angefochtenen Verfügung fest, fast die gesamte Familie des Beschwerdeführers lebe noch in seinem Heimatort in der Autonomen Region Kurdistan. In H._______ lebe zudem ein Onkel väterlicherseits, welcher dem Beschwerdeführer angeboten habe, bei ihm zu wohnen. Er verfüge damit über ein breites Familiennetz. Mit dem Onkel zusammen habe er das Land der Familie bestellt, diese würde zudem finanziell von Verwandten in D._______ unterstützt. In seinem Alter habe er bei einer Rückkehr die Wahl, eine Ausbildung anzustreben oder arbeiten zu gehen.</w:t>
      </w:r>
    </w:p>
    <w:p>
      <w:r>
        <w:rPr>
          <w:b/>
        </w:rPr>
        <w:t>E. 8.3</w:t>
      </w:r>
    </w:p>
    <w:p>
      <w:r>
        <w:t>In der Rechtsmitteleingabe vom 5. Januar 2017 bringt der Beschwerdeführer vor, gemäss seinen Informationen habe seine Familie das Land ebenfalls verlassen, womit ihm dort das erforderliche Beziehungsnetz fehle. In der Vernehmlassung stellte sich die Vorinstanz auf den Standpunkt, der Beschwerdeführer verfüge im Heimatland noch über weitere Verwandte, insbesondere den Onkel väterlicherseits, welcher ihm bereits vor seiner Ausreise vorgeschlagen habe, bei ihm zu wohnen. Im Februar 2017 teilte der Beschwerdeführer mit, seine Familie befinde sich inzwischen in J._______ und im Juni 2018 erklärte er, die Familie habe wieder in den Irak zurückkehren müssen. Da ihr Haus zerstört worden sei, habe sie Zuflucht und Schutz in einer Kirche in E._______ gefunden. Ihre Situation sei prekär, sie seien abhängig von der finanziellen Unterstützung durch die Kirche, da der Vater nicht arbeiten könne.</w:t>
      </w:r>
    </w:p>
    <w:p>
      <w:r>
        <w:rPr>
          <w:b/>
        </w:rPr>
        <w:t>E. 8.4</w:t>
      </w:r>
    </w:p>
    <w:p>
      <w:r>
        <w:t>Im ärztlichen Bericht der K._______ vom 22. August 2018 wird beim Beschwerdeführer eine depressive Störung, derzeit mittelgradige depressiven Episode (ICD-10: F32.1) diagnostiziert und eine fachärztliche Behandlung als indiziert erachtet. In der Vernehmlassung vom 24. September 2018 stellte die Vorinstanz unter Verweis auf mehrere ambulante und stationäre Behandlungsmöglichkeiten fest, der Beschwerdeführer könne sich in seiner Herkunftsregion behandeln lassen.</w:t>
      </w:r>
    </w:p>
    <w:p>
      <w:r>
        <w:rPr>
          <w:b/>
        </w:rPr>
        <w:t>E. 8.5.1</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 Voraussetzung zumutbar sei, dass die betreffende Person ursprünglich aus der Region stamme oder eine längere Zeit dort gelebt habe und über ein soziales Netz (Familie, Verwandtschaft oder Bekanntenkreis) oder aber über Beziehungen zu den herrschenden Parteien verfüge (vgl. a.a.O. E. 7.5, insbesondere E. 7.5.1 und 7.5.8).</w:t>
      </w:r>
    </w:p>
    <w:p>
      <w:r>
        <w:rPr>
          <w:b/>
        </w:rPr>
        <w:t>E. 8.5.2</w:t>
      </w:r>
    </w:p>
    <w:p>
      <w:r>
        <w:t>Diese Praxis wurde in den folgenden Jahren durch das Bundesverwaltungsgericht bestätigt. Im Referenzurteil E-3737/2015 vom 14. Dezember 2015 wurde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aktuellen Lage im KRG-Gebiet sei allerdings jeweils der Prüfung des Vorliegens begünstigender individueller Faktoren - insbesondere denjenigen eines tragfähigen familiären Beziehungsnetzes - besonderes Gewicht beizumessen (vgl. Urteil E-3737/2015 E. 7.4.5).</w:t>
      </w:r>
    </w:p>
    <w:p>
      <w:r>
        <w:rPr>
          <w:b/>
        </w:rPr>
        <w:t>E. 8.5.3</w:t>
      </w:r>
    </w:p>
    <w:p>
      <w:r>
        <w:t>Im Sommer 2017 kündigte die KRG-Führung ein Referendum über die Unabhängigkeit vom irakischen Zentralstaat an, das am 25. September 2017 mit dem Ergebnis eines deutlichen Votums zugunsten der Unabhängigkeit abgehalten wurde (vgl. hierzu und zum Folgenden das Urteil BVGer E-6430/2016 vom 31. Januar 2018 E. 6.4.3 m.w.H.). Die Abstimmung war zuvor von der Zentral-Regierung als illegal bezeichnet und von Nachbarstaaten wie der Türkei oder dem Iran als Gefährdung ihrer eigenen nationalen Sicherheit und Integrität kritisiert worden. Ende September 2017 wurden Einschränkungen des Luftverkehrs nach und aus dem KRG-Gebiet vorgenommen, die immer noch in Kraft sind. Eine faktische Wirtschaftsblockade hatte bisher erhebliche Auswirkungen auf die Versorgungssituation im kurdischen Autonomiegebiet. Im Oktober 2017 rückte die irakische Armee in die im Kampf gegen den IS durch die kurdischen Peshmerga besetzten Gebiete ein, wobei es zu vereinzelten Kämpfen kam; im Rahmen dieser Militäroffensive wurde den Kurden faktisch die Hoheit über weite Teile der bislang kontrollierten Gebiete ausserhalb der offiziellen Autonomieregion wieder entzogen. Am 10. Dezember 2017 erklärte der irakische Ministerpräsident al-Abadi den mehr als dreijährigen Krieg gegen den IS für beendet.</w:t>
      </w:r>
    </w:p>
    <w:p>
      <w:r>
        <w:rPr>
          <w:b/>
        </w:rPr>
        <w:t>E. 8.5.4</w:t>
      </w:r>
    </w:p>
    <w:p>
      <w:r>
        <w:t>Zusammenfassend ist nach dem Gesagten einerseits festzuhalten, dass sich die offene Bedrohungssituation des KRG-Gebiets durch den IS vor einiger Zeit aufgelöst hat; auch die Belastung der Infrastrukturen des kurdischen Autonomiegebiets durch landesintern Vertriebene (Internally Displaced People; vgl. hierzu Referenzurteil E-3737/2015 vom 14. Dezember 2015 E. 7.4) dürfte mittelfristig abnehmen. Andererseits hat die Durchführung des Unabhängigkeitsreferendums und dessen Ausgang zu repressiven Massnahmen der zentral-irakischen Regierung sowie der Nachbarstaaten B._______ und Iran geführt, was eine deutliche Verschlechterung der ökonomischen Verhältnisse nach sich gezogen hat. Im Ergebnis ist deshalb die Praxis gemäss Referenzurteil E-3737/2015 vom 14. Dezember 2015 - wonach bei der Prüfung der Zumutbarkeit des Wegweisungsvollzugs begünstigenden individuellen Faktoren besonderes Gewicht beizumessen ist - heute nach wie vor als aktuell und wird vom Bundesverwaltungsgericht denn auch weiterhin angewendet (vgl. u.a. die Urteile E-5124/2017 vom 1. März 2018 und E-6430/2016 vom 31. Januar 2018E. 6.4.4 f. m.w.H.).</w:t>
      </w:r>
    </w:p>
    <w:p>
      <w:r>
        <w:rPr>
          <w:b/>
        </w:rPr>
        <w:t>E. 8.6.1</w:t>
      </w:r>
    </w:p>
    <w:p>
      <w:r>
        <w:t>Zur persönlichen Situation des Beschwerdeführers ist festzustellen, dass er gemäss ärztlichem Bericht vom 22. August 2018 seit dem 17. Juli 2018 bei der K._______, einem Zentrum für Psychotraumatologie in Behandlung ist. Zur Diagnose wird ausgeführt, der Beschwerdeführer zeige das vollständige Krankheitsbild der mittelgardigen depressiven Episode (...). Hinzu kämen permanente starke (...). Aufgrund der starken Schmerzen und der gedrückten Stimmung könne der Beschwerdeführer trotz grosser Motivation nur schwer den täglichen Verpflichtungen (z.B. Deutschkurs) nachkommen und ziehe sich als Folge der (...) und (...) sozial zurück. Traumafolgestörungen könnten nicht ausgeschlossen werden. Eine tagesklinische Behandlung sei aus fachärztlicher Sicht empfehlenswert. Eine ambulante Behandlung sei notwendig und werde in die Wege geleitet. Eine Besserung sei mit Hilfe therapeutischer Massnahmen längerfristig möglich. Diesbezüglich verwies die Vorinstanz in ihrer Stellungnahme vom 24. September 2018 auf die dem Beschwerdeführer offen stehenden Behandlungsmöglichkeiten in H._______ und I._______.</w:t>
      </w:r>
    </w:p>
    <w:p>
      <w:r>
        <w:rPr>
          <w:b/>
        </w:rPr>
        <w:t>E. 8.6.2</w:t>
      </w:r>
    </w:p>
    <w:p>
      <w:r>
        <w:t>Die Vorinstanz führte in der Vernehmlassung vom 24. September 2018 aus, in H._______ gebe es verschiedene Behandlungsmöglichkeiten, welche der Beschwerdeführer in Anspruch nehmen könne. Diese allgemeinen Ausführungen betreffend die grundsätzliche Behandelbarkeit sind für sich betrachtet durchaus richtig. Indes scheint die Vorinstanz zu übersehen, dass im Verfahren des Beschwerdeführers nicht in erster Linie die Frage der Behandelbarkeit der konkreten gesundheitlichen Beschwerden respektive diejenige nach dem Standard der medizinischen Versorgung im KRG-Gebiet interessiert, sondern, ob begünstigende Faktoren im Sinn der erwähnten Gerichtspraxis gegeben sind. Der Beschwerdeführer leidet gemäss ärztlichem Bericht an einer mittelgradigen Depression. Dass solche Beschwerden mit Blick auf die Frage der Re-Integrationsmöglichkeiten nicht als "begünstigend", sondern als das Gegenteil davon zu qualifizieren sind, versteht sich von selbst. Unter den gegebenen Umständen würde die Feststellung der Zumutbarkeit des Vollzugs zusätzlich begünstigende individuelle Zusatzfaktoren voraussetzen, welche die gesundheitlichen Beeinträchtigungen aufzuwiegen vermöchten. Derart starke Zumutbarkeitsindizien liegen beim Beschwerdeführer nicht vor. Das bei seiner Ausreise noch intakte familiäre Beziehungsnetz muss inzwischen als nicht mehr tragfähig erachtet werden. Die verbleibenden Familienmitglieder (Vater, Mutter, eine (...)-jährige Schwester und ein (...)-jähriger Bruder), die sich ebenfalls auf die Flucht begeben hatten, sind zwar in der Zwischenzeit wieder ins Heimatdorf zurückgekehrt, indes sei das Haus der Familie zerstört worden und sie würden in der Kirche leben. Unter diesen Umständen kann nicht ausgeschlossen werden, dass die Familie erneut versuchen wird, auszureisen. Der Vater des Beschwerdeführers ist krankheitshalber nicht mehr in der Lage, zu arbeiten. Die Familie sei finanziell von der Kirche abhängig, bei welcher die Mutter manchmal (...) und (...). Das jugendliche Alter des Beschwerdeführers und die gesundheitliche Problematik dürften auch die Möglichkeiten des Ausübens einer eigenen, existenzsichernden Erwerbstätigkeit erheblich erschweren, zumal er nur über eine (...)jährige Schulbildung und über keinerlei berufliche Erfahrungen verfügt. Schliesslich gilt vorliegend auch zu berücksichtigen, dass der Beschwerdeführer und seine Familie nicht der kurdischen Ethnie angehören und sie christlichen Glaubens sind. Unter diesen Umständen ist davon auszugehen, dass der Beschwerdeführer bei einer Rückkehr in eine existenzbedrohende Lage geraten würde. Demnach liegen keine begünstigenden Faktoren vor und der Vollzug der Wegweisung ist zum heutigen Zeitpunkt nicht zumutbar. Den Akten sind keine Hinweise auf Ausschlussgründe gemäss Art. 83 Abs. 7 AuG zu entnehmen.</w:t>
      </w:r>
    </w:p>
    <w:p>
      <w:r>
        <w:rPr>
          <w:b/>
        </w:rPr>
        <w:t>E. 9</w:t>
      </w:r>
    </w:p>
    <w:p>
      <w:r>
        <w:t>Die Beschwerde ist teilweise gutzuheissen und die Verfügung vom 30. November 2016 ist bezüglich des Vollzugs der Wegweisung aufzuheben. Die Vorinstanz ist anzuweisen, die vorläufige Aufnahme des Beschwerdeführers in der Schweiz anzuordnen. Für die eventualiter beantragte Rückweisung der Sache an die Vorinstanz besteht keine Veranlassung.</w:t>
      </w:r>
    </w:p>
    <w:p>
      <w:r>
        <w:rPr>
          <w:b/>
        </w:rPr>
        <w:t>E. 10.1</w:t>
      </w:r>
    </w:p>
    <w:p>
      <w:r>
        <w:t>Bei diesem Ausgang des Verfahrens ist praxisgemäss von einem hälftigen Obsiegen des Beschwerdeführers auszugehen, weshalb er die Verfahrenskosten zur Hälfte zu tragen hätte (vgl. Art. 63 Abs. 1 VwVG). Indes wurde ihm mit Zwischenverfügung vom 11. Januar 2017 die unentgeltliche Prozessführung gewährt, weshalb keine Verfahrenskosten zu erheben sind.</w:t>
      </w:r>
    </w:p>
    <w:p>
      <w:r>
        <w:rPr>
          <w:b/>
        </w:rPr>
        <w:t>E. 10.2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w:t>
      </w:r>
    </w:p>
    <w:p>
      <w:r>
        <w:rPr>
          <w:b/>
        </w:rPr>
        <w:t>E. 10.3</w:t>
      </w:r>
    </w:p>
    <w:p>
      <w:r>
        <w:t>Seitens der Rechtsvertretung wurde keine Kostennote eingereicht. Auf Nachforderung einer solchen kann indes verzichtet werden, da der Aufwand für das vorliegende Beschwerdeverfahren zuverlässig abgeschätzt werden kann (Art. 14 Abs. 2 in fine VGKE). Für die Beschwerde sowie die ergänzenden Ausführungen und ausgehend von einem Stundenansatz von Fr. 150.- (vgl. Art. 12 i.V.m. Art. 10 Abs. 2 VGKE) erscheint ein Honorar von pauschal Fr. 900.- (inkl. Auslagen) angemessen. Infolge des hälftigen Obsiegens hat die Vorinstanz dem Beschwerdeführer folglich eine Parteientschädigung in Höhe von Fr. 450.- auszurichten.</w:t>
      </w:r>
    </w:p>
    <w:p>
      <w:r>
        <w:rPr>
          <w:b/>
        </w:rPr>
        <w:t>E. 10.4</w:t>
      </w:r>
    </w:p>
    <w:p>
      <w:r>
        <w:t>Sodann wurde dem Beschwerdeführer mit Zwischenverfügung vom 11. Januar 2017 die unentgeltliche Rechtsverbeiständung im Sinne von Art. 110a Abs. 1 Bst. a AsylG gewährt und lic. iur. Monique Bremi als amtliche Rechtsbeiständin eingesetzt. Ausgehend vom hälftigen Unterliegen ist das amtliche Honorar auf insgesamt Fr. 450.- festzusetzen. Dieser Betrag ist der amtlich eingesetzten Rechtsbeiständin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