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E-86/2013 vom 14. März 2013</w:t>
      </w:r>
    </w:p>
    <w:p>
      <w:r>
        <w:t>Bundesverwaltungsgericht, 2013-03-14, DE</w:t>
      </w:r>
    </w:p>
    <w:p>
      <w:r>
        <w:rPr>
          <w:b/>
        </w:rPr>
        <w:t xml:space="preserve">Quelle: </w:t>
      </w:r>
      <w:r>
        <w:t>https://mcp.opencaselaw.ch/entscheid/bvger_E-86_2013</w:t>
      </w:r>
    </w:p>
    <w:p>
      <w:r>
        <w:t>FR: TAF E-86/2013 du 14 mars 2013</w:t>
      </w:r>
    </w:p>
    <w:p>
      <w:r>
        <w:t>IT: TAF E-86/2013 del 14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der angefochtenen Verfügung zutreffend fest, die Vorbringen des Beschwerdeführers würden den Anforderungen an die Anerkennung der Flüchtlingseigenschaft nicht genügen. Er sei beim Vorfall (...) weder selbst dabei noch in greifbarer Form darin verwickelt gewesen, und es sei keine individuelle Exponierung ersichtlich, weshalb sich keine begründete Furcht vor Verfolgung daraus ableiten lasse.</w:t>
      </w:r>
    </w:p>
    <w:p>
      <w:r>
        <w:rPr>
          <w:b/>
        </w:rPr>
        <w:t>E. 4.2</w:t>
      </w:r>
    </w:p>
    <w:p>
      <w:r>
        <w:t>In der Beschwerde wird demgegenüber lediglich ausgeführt, B._______ gehöre zu den am meisten umkämpften Provinzen der Türkei, und nach dem Mord an einem Dorfschützer vom (...) habe es grossflächige und gewaltsame Dorfdurchsuchungen gegeben, wobei der Beschwerdeführer wegen früherer Ereignisse sofort verdächtigt und gesucht worden sei. Die Vorbringen in der Beschwerde sind indessen oberflächlich, allgemein sowie unsubstanziiert geblieben und beschränken sich weitgehend auf Wiederholungen der erstinstanzlichen Aussagen, weshalb sie die Erwägungen der Vorinstanz nicht zu entkräften vermögen. Wie das Bundesamt richtig festhält, steht dem Beschwerdeführer zudem die Möglichkeit offen, sich in einen anderen Landesteil - insbesondere in der Region Istanbul - niederzulassen und sich so lokalen Problemen zu entziehen. Seine diesbezüglichen Vorbringen auf Beschwerdeebene können an dieser Einschätzung nichts ändern. Die in der Beschwerde angekündigten Beweismittel sind bis zum heutigen Datum nicht beim Bundesverwaltungsgericht eingegangen.</w:t>
      </w:r>
    </w:p>
    <w:p>
      <w:r>
        <w:rPr>
          <w:b/>
        </w:rPr>
        <w:t>E. 4.3</w:t>
      </w:r>
    </w:p>
    <w:p>
      <w:r>
        <w:t>Nach dem Gesagten bestehen keine hinreichenden Anhaltspunkte dafür, der Beschwerdeführer wäre aus flüchtlingsrechtlich relevanten Motiven ernsthaften Nachteilen ausgesetzt gewesen oder könnte in absehbarer Zukunft mit erheblicher Wahrscheinlichkeit solchen ausgesetzt sein. Vor diesem Hintergrund erscheint die Beschwerde offensichtlich unbegründet. Dem Beschwerdeführer gelingt es nicht, die Flüchtlingseigenschaft nachzuweisen oder zumindest glaubhaft zu machen, weshalb das Bundesamt das Asylgesuch zu Recht abgelehnt hat.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sind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Angesichts der heutigen Lage in der Türkei kann nicht von einer Situation allgemeiner Gewalt oder von kriegerischen oder bürgerkriegsähnlichen Verhältnissen gesprochen werden. In den Akten finden sich auch keine konkreten Anhaltspunkte dafür, der Beschwerdeführer geriete bei einer Rückkehr aus individuellen Gründen in eine existenzbedrohende Situation, zumal er jung und gesund ist und über ein familiäres Beziehungsnetz verfügt. Damit erweist sich der Vollzug der Wegweisung auch als zumutbar.</w:t>
      </w:r>
    </w:p>
    <w:p>
      <w:r>
        <w:rPr>
          <w:b/>
        </w:rPr>
        <w:t>E. 6.4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von Fr. 600.- (Art. 1- 3 des Reglements vom 21. Februar 2008 über die Kosten und Entschädigungen vor dem Bundesverwaltungsgericht [VGKE, SR 173.320.2]) dem Beschwerdeführer aufzuerlegen und mit dem am 22. Januar 2013 in gleicher Höhe geleisteten Kostenvorschuss zu verrechnen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