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E-86/2008 vom 7. März 2011</w:t>
      </w:r>
    </w:p>
    <w:p>
      <w:r>
        <w:t>Bundesverwaltungsgericht, 2011-03-07, DE</w:t>
      </w:r>
    </w:p>
    <w:p>
      <w:r>
        <w:rPr>
          <w:b/>
        </w:rPr>
        <w:t xml:space="preserve">Quelle: </w:t>
      </w:r>
      <w:r>
        <w:t>https://mcp.opencaselaw.ch/entscheid/bvger_E-86_2008</w:t>
      </w:r>
    </w:p>
    <w:p>
      <w:r>
        <w:t>FR: TAF E-86/2008 du 7 mars 2011</w:t>
      </w:r>
    </w:p>
    <w:p>
      <w:r>
        <w:t>IT: TAF E-86/2008 del 7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aus, die Vorbringen des Be­schwerdeführers könnten aus verschiedenen Gründen nicht geglaubt wer­den. Er habe beispielsweise erklärt, beobachtet zu werden, habe dazu aber keine schlüssigen Beschreibungen abgeben können. Bezüg­lich des eingereichten Rapports des Polizeipostens vom (...) sei festzuhalten, dass es sich um ein internes Papier handle. Ungeachtet des­sen würden sich daraus im Vergleich zu den Aussagen des Beschwer­deführers inhaltliche Widersprüche ergeben; insbesondere werde im Dokument erwähnt, dass der Beschwerdeführer telefonisch be­droht worden sei, was dieser jedoch nie geltend gemacht habe. Nicht nach­vollzieh­bar respektive unrealistisch sei auch, dass der angebliche Poli­zeirapport bereits am Tag des Verschwindens des Bruders ausgestellt worden sein solle. Insgesamt müsse die Echtheit des Beweismittels in Frage gestellt und folglich die vor diesem Hintergrund geltend gemachte Verfolgungssituation des Be­schwerdeführers als unglaubhaft beurteilt wer­den. Diese Feststellung werde durch weitere ungereimte Aussagen des Beschwerdeführers bestä­tigt. Die weiteren Beweismittel stünden in en­gem Zusammenhang mit dem erstgenannten Dokument, weshalb nicht näher auf diese eingegan­gen werden müsse.</w:t>
      </w:r>
    </w:p>
    <w:p>
      <w:r>
        <w:rPr>
          <w:b/>
        </w:rPr>
        <w:t>E. 4.2</w:t>
      </w:r>
    </w:p>
    <w:p>
      <w:r>
        <w:t>In seiner Rechtsmitteleingabe wiederholt der Beschwerdeführer kurz den aktenkundigen Sachverhalt und bestreitet die Feststellung der Vorin­stanz, wonach seine Angaben im Zusammenhang mit der Tötung des Bru­ders unsubstanziiert ausgefallen seien. Er habe genau erklärt, wie er nach des­sen Tod beobachtet worden sei. Da es sich um eine geheime Mass­nahme von Terroristen gehandelt habe, seien keine Angaben über Art, Iden­tität und Anzahl dieser Leute möglich, sonst hätte er diese Leute ver­haften lassen oder sonstige Vorsichtsmassnahmen treffen können. Was das vom BFM erwähnte Telefongespräch betreffe, liege offenbar ein Missver­ständnis vor. Sein Onkel habe den Polizeiposten über die Entfüh­rung des Bruders informiert und dabei Adresse und Telefonnummer bei der Polizei hinterlassen. Sie seien aber nicht von Terroristen angerufen wor­den und er habe auch nie eine Aussage über telefonische Drohungen gemacht. Dass die Polizei zudem bereits am Tag des Verschwindens des Bruders ei­nen Rapport verfasst habe, sei entgegen der Auffassung des BFM nament­lich vor dem Hintergrund der exponierten Tätigkeit des Bruders durchaus realistisch; zudem sei dieses Vorgehen der Polizei im Irak üb­lich. Er sei mit seiner Familie neu in Kirkuk zugezogen gewesen und dort des­halb entspre­chend exponiert gewesen. Sie hätten in einem von Arabern domi­nierten Quartier gelebt, ausserdem habe bei ihnen eine Trauerfeier stattge­funden. Aus diesen Gründen hätten die Terroristen auch mehr über ihn und die Familie erfahren. Bei den Beweismitteln, die er dem BFM abgegeben habe, handle es sich um echte Dokumente, die jedoch wegen ungerecht erho­bener Zweifel nicht vollständig überprüft worden seien. Dabei wäre die Vorinstanz gehal­ten gewesen, sämtliche Unterlagen unvoreingenom­men zu prüfen.</w:t>
      </w:r>
    </w:p>
    <w:p>
      <w:r>
        <w:rPr>
          <w:b/>
        </w:rPr>
        <w:t>E. 4.3</w:t>
      </w:r>
    </w:p>
    <w:p>
      <w:r>
        <w:t>Entgegen den Ausführungen der Beschwerde sind die Vor­bringen des Beschwerdeführers auch nach Auffassung des Bundesverwaltungsge­richts teils widersprüchlich, teils nicht nachvoll­zieh­bar ausgefallen. Die protokollierten Aussagen weisen insgesamt auch ei­nen geringen Anteil so genannter Realitätskennzeichen auf.</w:t>
      </w:r>
    </w:p>
    <w:p>
      <w:r>
        <w:rPr>
          <w:b/>
        </w:rPr>
        <w:t>E. 4.3.1</w:t>
      </w:r>
    </w:p>
    <w:p>
      <w:r>
        <w:t>So hat der Beschwerdeführer beispielsweise bei der Erstbefragung angegeben, nach der Trauerzeit habe er bemerkt, dass er beobachtet werde. Als er bei der Polizei die Rapporte über seinen Bruder verlangt habe, habe er die Polizei über diese Beobachtungen informiert (vgl. Proto­koll Empfangszentrum S. 5). Demgegenüber gab er bei der einlässli­chen Anhörung zu Protokoll, der Onkel als oberstes Familien­mit­glied habe die Polizei über diese Beobachtungen informiert (vgl. Protokoll der Befragung zu den Asylgründen S. 9).</w:t>
      </w:r>
    </w:p>
    <w:p>
      <w:r>
        <w:rPr>
          <w:b/>
        </w:rPr>
        <w:t>E. 4.3.2</w:t>
      </w:r>
    </w:p>
    <w:p>
      <w:r>
        <w:t>Der Beschwerdeführer kann auch nicht plausibel darlegen, wie sein On­kel in den Besitz des internen Rapports vom (...) gelangen konnte. Ausserdem ergeben sich aus dem Inhalt dieses Dokumentes klare Wider­sprüche zu den entsprechenden Angaben des Beschwerdefüh­rers: So hat dieser zu Protokoll angegeben, er sei nach dem Tod des Bruders respektive nach der Trauerzeit von Unbekannten beo­bachtet worden; einmal sollen ihn diese sogar zu Hause aufgesucht ha­ben. Der Polizeirapport, der vom Tag des Verschwindens des Bruders da­tiert, beschreibt demgegenüber Be­drohungen, die gegen die ganze Fami­lie, insbesondere gegen den Be­schwerdeführer, gerichtet gewesen sein sollen. Gemäss diesen schriftli­chen Ausführungen hätte die Bedro­hungssituation demnach bereits erheblich früher eingesetzt, als wie vom Be­schwerdeführer geltend gemacht nach dem Tod des Bruders respek­tive nach der Trauerzeit. Ausserdem beschreibt der Poli­zeirapport einen te­lefonischen Drohanruf, der beim Beschwerdefüh­rer eingegangen sei und gibt sogar den Inhalt dieses Anrufs wieder. Der Be­schwerdeführer hat jedoch eine sol­che, bereits im Zeitpunkt der Entführung des Bruders beste­hende Bedrohungssituation mit keinem Wort erwähnt. Vielmehr gab er ausdrücklich zu Protokoll, zuvor keine Probleme mit Organisationen, an­deren Personen oder Be­hörden gehabt zu haben (vgl. Protokoll Emp­fangszen­trum S. 6). Vor die­sem Hintergrund hat die Vorinstanz insgesamt zu Recht die Echtheit des Schreibens vom (...) in Zweifel gezo­gen. Der Einwand in der Rechtsmitteleingabe, es müsse hierbei insofern ein Missverständnis vor­liegen, als nicht er, sondern der Onkel die Vermisstenan­zeige betreffend den Bruder bei der Polizei gemacht habe, ist nicht überzeugend und bezieht sich auch nicht auf die inhaltlichen Ausfüh­run­gen des Rapports (...).</w:t>
      </w:r>
    </w:p>
    <w:p>
      <w:r>
        <w:rPr>
          <w:b/>
        </w:rPr>
        <w:t>E. 4.3.3</w:t>
      </w:r>
    </w:p>
    <w:p>
      <w:r>
        <w:t>Die nach dem Gesagten entstehenden Zweifel am Wahrheitsgehalt der Asylvorbringen werden durch weitere ungereimte Aussagen bestätigt. So hat der Beschwerdeführer einerseits im Zusammenhang mit der Entfüh­rung des Bruders angegeben, dieser sei in C._______ im Dienst gewe­sen, als er entführt worden sei, um unmittelbar darauf zu erklären, der Bruder sei damals zu Hause und nicht im Dienst gewesen, weshalb er den nun abgegebenen Ausweis des Bruders von zu Hause habe mitneh­men können (vgl. Protokoll Befragung zu den Asylgründen S. 7, Pro­tokoll Empfangszentrum S. 5).</w:t>
      </w:r>
    </w:p>
    <w:p>
      <w:r>
        <w:rPr>
          <w:b/>
        </w:rPr>
        <w:t>E. 4.3.4</w:t>
      </w:r>
    </w:p>
    <w:p>
      <w:r>
        <w:t>Weitere Ungereimtheiten prägen die Vorbringen des Be­schwerdefüh­rers: So soll einmal nur eine Person zu Hause nach ihm ge­fragt haben; gemäss Angaben bei der einlässlichen Anhörung sollen es je­doch mehrere Personen gewe­sen sein (vgl. Protokoll Empfangszentrum S. 5, Protokoll Befragung zu den Asylgründen S. 8 f.) Auf die Frage, wie der Beschwerdeführer von diesen Beobachtungen erfah­ren habe, erklärte er, man kenne die Leute, die in der gleichen Wohn­gegend le­ben würden; diese Personen habe er aber nie zuvor gese­hen (vgl. Proto­koll Befragung zu den Asylgründen S. 8). Auf Beschwer­deebene führte er demgegenüber aus, aufgrund der erst relativ kurzen Zeit in Kirkuk hätten sie nicht viele Leute ge­kannt. Vor dem Hinter­grund dieser Angabe erstaunt im Übrigen auch, dass ihm dann allfällige im Wohnquartier fremde Personen aufgefallen sein sollen und er diese dar­über hinaus sogar als heimliche Verfolger erkannt haben will. Hinsichtlich der angeblichen Vertreibung aus Suleimaniya hat der Beschwer­deführer einerseits angegeben, der Bruder habe keinen Lohn mehr erhal­ten (vgl. Protokoll Befragung zu den Asylgründen S. 3); anderer­seits soll es der Bruder gewesen sein, der die Familie auch nach der Enteignung des Hauses in Sulei­maniya zwischen (...) mit seinem Lohn unter­stützt haben soll (vgl. Protokoll Emp­fangszentrum S. 5).</w:t>
      </w:r>
    </w:p>
    <w:p>
      <w:r>
        <w:rPr>
          <w:b/>
        </w:rPr>
        <w:t>E. 4.4</w:t>
      </w:r>
    </w:p>
    <w:p>
      <w:r>
        <w:t>In Würdigung aller Vorbringen sowie der aktenkundigen Unterlagen er­weisen sich die geltend gemachten Verfolgungsgründe als unglaubhaft. Der eingereichte Polizeirapport vom (...) ist aufgrund der er­hebli­chen inhaltlichen Widersprüche als nicht authentisch zu qualifizieren. Bei dieser Sachlage hat die Vorinstanz zu Recht auf eine eingehende Prü­fung der weiteren Beweismittel verzichtet, zumal diese - zwei Fotogra­fien, ein Ausweis sowie das Arztzeugnis (...) - alle­samt den Bruder betreffen und allein aus diesen nicht auf eine konkret ge­gen den Be­schwerdeführer gerichtete Verfolgungssituation geschlos­sen werden könnte.</w:t>
      </w:r>
    </w:p>
    <w:p>
      <w:r>
        <w:rPr>
          <w:b/>
        </w:rPr>
        <w:t>E. 4.5</w:t>
      </w:r>
    </w:p>
    <w:p>
      <w:r>
        <w:t>Zusammenfassend vermochte der Beschwerdeführer nicht glaubhaft zu machen, dass er einer Verfolgung im Sinn von Art. 3 AsylG ausgesetzt gewesen war oder begründete Furcht hat, einer solchen ausgesetzt wer­den zu können. Die Vorinstanz hat demnach zu Recht die Flüchtlingseigen­schaft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ist im Frühjahr 2008 aufgrund einer umfas­senden Beurteilung der Situation in den nordirakischen Provinzen Do­huk, Suleimaniya und Erbil zum Schluss gekommen, dass in den drei kur­dischen Provinzen keine Situation allgemeiner Gewalt herrscht und die politische Lage nicht dermassen angespannt ist, dass eine Rückführung dorthin als generell unzumutbar beurteilt werden müsse (vgl. BVGE 2008/5). Zudem ist die Region mit Direktflügen aus Europa und aus den Nachbarstaaten erreichbar, womit das Element der unzumutbaren Rück­reise via Bagdad und anschliessend auf dem Landweg durch den teil­weise von Ge­walt heimgesuchten Zentralirak entfällt. Zusammenfassend wurde im er­wähnten Entscheid festgehalten, dass die Anordnung des Weg­weisungs­vollzugs in der Regel für alleinstehende, gesunde und junge kurdi­sche Männer, die ursprünglich aus einer der drei Provinzen stammen oder eine länger Zeit dort gelebt haben und dort nach wie vor über ein sozi­ales Netz oder Parteibeziehungen verfügen, zumutbar ist. Die Stabili­tät der Si­cherheitssituation im kurdisch kontrollierten Nordirak hat seit Publi­kation dieses Urteils nicht abgenommen, sondern sich weiter konsoli­diert (vgl. etwa Amt des Hohen Flüchtlingskommissars der Vereinten Nationen [UNHCR], Note on the Continued Applicability of the April 2009 UNHCR Eligibility Guidelines for Assessing the International Pro­tection Needs of Iraqi Asylum-Seekers, Juli 2010, S. 2 f.).</w:t>
      </w:r>
    </w:p>
    <w:p>
      <w:r>
        <w:rPr>
          <w:b/>
        </w:rPr>
        <w:t>E. 6.4.2</w:t>
      </w:r>
    </w:p>
    <w:p>
      <w:r>
        <w:t>Vor diesem Hintergrund ist die Frage der individuellen Zumutbarkeit des Wegweisungs­vollzugs zu prüfen (vgl. BVGE 2008/5 E. 7.5.8 S. 72). Den Akten sind nach dem oben Gesagten keine Anhalts­punkte für die An­nahme zu entnehmen, dem Beschwerdeführer würde als ursprünglich aus Kirkuk stammender Angehöriger der kurdi­schen Mehrheit in der Pro­vinz Suleimaniya künftig ein Bleiberecht verwei­gert - dies umso weniger als sowohl sein Vater als auch der Bruder Peschmerga bei der diese Pro­vinz beherrschenden Patriotic Union of Kurdistan (PUK) gewesen sein sol­len (vgl. Proto­koll Befragung zu den Asylgründen S. 3 und 7). Gemäss seinen Angaben lebte der Beschwerdeführe mit seiner Familie von 1988 bis (...) in der Provinz Suleimaniya. Dort besuchte er auch die Grundschule und ging ab (...) einer Arbeit in D._______nach (vgl. Proto­koll Befragung zu den Asylgründen S. 2 und 4). Zwischen November 2005 und März 2006, nachdem ihnen das Haus weggenommen worden sei, hätten sie bei einem Freund des Bru­ders in des­sen zweistöckigem Haus wohnen können. Angesichts dieser langjährigen Wohnsitznahme in Suleimaniya ist davon auszuge­hen, dass der Beschwerdeführer dort nach wie vor über soziale An­knüpfungspunkte verfügt oder solche wiederaufzunehmen in der Lage sein wäre. Insbesondere vor dem sozio-kulturellen Hintergrund im Heimat­staat des Beschwerdeführers ist davon auszugehen, dass er zu­min­dest anfänglich wieder beim erwähnten Freund des Bruders Unter­kunft finden und im Bedarfsfall vom Onkel, der ebenfalls im kurdisch domi­nierten Teil des Nordiraks wohnt und der ihm bereits bei der Ausreise fi­nanziell Hilfe geleistet hatte, finanzielle Unterstützung erhalten dürfte. Zu­dem han­delt es sich beim Beschwerdeführer um einen jungen, soweit aus den Akten ersichtlich, gesunden Mann ohne familiäre Verpflichtun­gen, der bereits vor sei­ner Ausreise einer geregelten Erwerbstätigkeit nach­ging und finanziell auf eigenen Beinen stand. Es ergeben sich daher insgesamt aus den Akten und den Angaben des Be­schwerdeführers keine konkreten Anhaltspunkte, die darauf schliessen lassen würden, er könnte bei der Rückkehr in die nordiraki­sche Provinz Su­leimaniya aus individuellen Gründen wirtschaftlicher, sozia­ler oder ge­sundheitlicher Natur in eine existenzbedrohende Situa­tion geraten.Der Vollständigkeit halber ist darauf hinzuweisen, dass ihm eine allfällige Rückkehrhilfe der Schweiz die Ansiedlung in der Heimat zusätzlich er­leich­tern könnte.</w:t>
      </w:r>
    </w:p>
    <w:p>
      <w:r>
        <w:rPr>
          <w:b/>
        </w:rPr>
        <w:t>E. 6.5</w:t>
      </w:r>
    </w:p>
    <w:p>
      <w:r>
        <w:t>In Würdigung aller Sachumstände ist der Vollzug der Wegweisung des Beschwerdeführers in die Provinz Suleimaniya als zumut­bar zu bezeich­nen.</w:t>
      </w:r>
    </w:p>
    <w:p>
      <w:r>
        <w:rPr>
          <w:b/>
        </w:rPr>
        <w:t>E. 6.6</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Für die beantragte Rückweisung der Akten zur Neubeurteilung des Asylge­suchs durch das BFM besteht - insbesondere nach dem in Erwä­gung 4.4 Gesagten - keine Veranlassung. Die Be­schwerde ist damit vollumfänglich abzuweisen.</w:t>
      </w:r>
    </w:p>
    <w:p>
      <w:r>
        <w:rPr>
          <w:b/>
        </w:rPr>
        <w:t>E. 8</w:t>
      </w:r>
    </w:p>
    <w:p>
      <w:r>
        <w:t>Bei diesem Ausgang des Verfahrens sind die Kosten dem Beschwerdeführer aufzuerlegen (Art. 63 Abs. 1 VwVG). Das Gesuch um Gewährung der unentgeltlichen Rechtspflege ist abzuweisen, da der Be­schwerdeführer gemäss dem Bundesverwaltungsgericht vorliegenden Un­terlagen seit Sommer 2008 einer Erwerbstätigkeit in der Schweiz nach­ge­ht und damit über ein geregeltes Einkommen verfügt, womit das for­male Erfordernis der prozessualen Bedürftigkeit im Sinn von Art. 65 Abs. 1 VwVG nicht mehr gegeben ist. Die Verfah­renskosten sind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