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E-869/2012 vom 28. März 2012</w:t>
      </w:r>
    </w:p>
    <w:p>
      <w:r>
        <w:t>Bundesverwaltungsgericht, 2012-03-28, DE</w:t>
      </w:r>
    </w:p>
    <w:p>
      <w:r>
        <w:rPr>
          <w:b/>
        </w:rPr>
        <w:t xml:space="preserve">Quelle: </w:t>
      </w:r>
      <w:r>
        <w:t>https://mcp.opencaselaw.ch/entscheid/bvger_E-869_2012</w:t>
      </w:r>
    </w:p>
    <w:p>
      <w:r>
        <w:t>FR: TAF E-869/2012 du 28 mars 2012</w:t>
      </w:r>
    </w:p>
    <w:p>
      <w:r>
        <w:t>IT: TAF E-869/2012 del 28 marzo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2.1</w:t>
      </w:r>
    </w:p>
    <w:p>
      <w:r>
        <w:t>Mit der Beschwerde kann eine Verletzung von Bundesrecht, eine unrichtige oder unvollständige Feststellung des rechtserheblichen Sachverhalts und Unangemessenheit gerügt werden (Art. 106 Abs. 1 AsylG).</w:t>
      </w:r>
    </w:p>
    <w:p>
      <w:r>
        <w:rPr>
          <w:b/>
        </w:rPr>
        <w:t>E. 2.2</w:t>
      </w:r>
    </w:p>
    <w:p>
      <w:r>
        <w:t>Die Beschwerde erweist sich als offensichtlich unbegründet und ist im Verfahren einzelrichterlicher Zuständigkeit mit Zustimmung eines zweiten Richters (Art. 111 Bst. e AsylG) mit summarischer Begründung zu behandeln (Art. 111a Abs. 1 und 2 AsylG).</w:t>
      </w:r>
    </w:p>
    <w:p>
      <w:r>
        <w:rPr>
          <w:b/>
        </w:rPr>
        <w:t>E. 3.1</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3.2</w:t>
      </w:r>
    </w:p>
    <w:p>
      <w:r>
        <w:t>Das Bundesverwaltungsgericht hat die Anforderungen an das Glaubhaftmachen der Vorbringen in einem jüngeren Entscheid dargelegt und folgt dabei ständiger Praxis. Darauf kann hier verwiesen werden (vgl. statt vieler BGVE 2010/57 E. 2.2 und 2.3).</w:t>
      </w:r>
    </w:p>
    <w:p>
      <w:r>
        <w:rPr>
          <w:b/>
        </w:rPr>
        <w:t>E. 3.3</w:t>
      </w:r>
    </w:p>
    <w:p>
      <w:r>
        <w:t>Die Vorinstanz hat den Massstab des Glaubhaftmachens nach Art. 7 AsylG auf den vorliegenden Fall korrekt angewendet. Sie hat in der angefochtenen Verfügung einlässlich begründet, weshalb die Vorbringen des Beschwerdeführers widersprüchlich, unsubstantiiert und in einer Gesamtwürdigung als unglaubhaft ausfielen. In der Tat weisen die Angaben des Beschwerdeführers einige nicht unerhebliche Widersprüche auf: So machte er beispielsweise anlässlich der persönlichen Befragung vom 22. August 2008 und der Anhörung vom 2. September 2008 unterschiedliche Angaben, über die Anzahl Tage, an denen sein Cousin von der Arbeit ferngeblieben sein soll sowie über die Anzahl Personen, die den Cousin in der Schneiderei gesucht haben sollen (BFM-Akten A4/10 S. 5, A8/18 S. 7). Auch die Ausführungen darüber, ob er seinen Freund nach der Flucht zuerst angerufen oder ihn persönlich aufgesucht habe, sind widersprüchlich (BFM-Akten, A4/10 S. 5, A8/18 S. 7). Abgesehen von den zahlreichen und deshalb nur beispielhaft aufgezählten Widersprüchen kommt die Vorinstanz zutreffend zum Schluss, dass die Aussagen des Beschwerdeführers insgesamt stereotyp ausfallen, dass er nur oberflächliche und allgemeingültige Beschreibungen geben kann und Realkennzeichen weitgehend vermissen lässt. Die in der Beschwerde vorgebrachten Erklärungen vermögen die Widersprüche nicht zu entkräften und erklären die Substanzlosigkeit seiner Ausführungen nicht. So mag zutreffen, dass der Beschwerdeführer bei Befragung nervös war und eigenen Angaben zufolge ein einfacher Mann ist, der nicht Lesen und Schreiben kann. Es wäre ihm jedoch ohne weiteres möglich gewesen, die Abläufe und Gründe, die zu seiner Flucht geführt haben, ohne erhebliche Widersprüche und detaillierter zu schildern. Im Übrigen spricht die Tatsache, dass er - trotz mehrfacher Aufforderung des Bundesamtes - bis zum heutigen Zeitpunkt kein gültiges Identitätspapier eingereicht hat, und dies, obwohl er anlässlich der Anhörung vom 2. September 2008 in Aussicht hatte, er werde sich noch am gleichen Tag darum kümmern, nicht gerade für die Glaubwürdigkeit des Beschwerdeführers (BFM-Akten, act. A8/18 S. 3).</w:t>
      </w:r>
    </w:p>
    <w:p>
      <w:r>
        <w:rPr>
          <w:b/>
        </w:rPr>
        <w:t>E. 3.4</w:t>
      </w:r>
    </w:p>
    <w:p>
      <w:r>
        <w:t>Der Beschwerdeführer hat damit nichts vorgebracht, das geeignet wäre, die Flüchtlingseigenschaft nachzuweisen oder zumindest glaubhaft zu machen. Der angefochtene Entscheid ist somit im Asylpunkt zu bestätigen.</w:t>
      </w:r>
    </w:p>
    <w:p>
      <w:r>
        <w:rPr>
          <w:b/>
        </w:rPr>
        <w:t>E. 4</w:t>
      </w:r>
    </w:p>
    <w:p>
      <w:r>
        <w:t>Gemäss Art. 44 Abs. 1 AsylG verfügt das Bundesamt in der Regel die Wegweisung aus der Schweiz und ordnet den Vollzug an, wenn es das Asylgesuch ablehnt oder darauf nicht eintritt. Da der Beschwerdeführer weder über eine ausländerrechtliche Aufenthaltsbewilligung noch über einen Anspruch auf Erteilung einer solchen verfügt (BVGE 2009/50 E. 9), ist die Anordnung der Wegweisung nicht zu beanstanden.</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Nach Art. 83 Abs. 3 AuG ist der Vollzug nicht zulässig, wenn völkerrechtliche Verpflichtungen der Schweiz einer Weiterreise der Ausländerin oder des Ausländers in den Heimat-, Herkunfts- oder einen Drittstaat entgegenstehen.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dass der Beschwerdeführer im Falle einer Ausschaffung in den Heimatstaat dort mit beachtlicher Wahrscheinlichkeit einer verbotenen Strafe oder Behandlung ausgesetzt wäre. Der Wegweisungsvollzug ist zulässig.</w:t>
      </w:r>
    </w:p>
    <w:p>
      <w:r>
        <w:rPr>
          <w:b/>
        </w:rPr>
        <w:t>E. 5.3</w:t>
      </w:r>
    </w:p>
    <w:p>
      <w:r>
        <w:t>Nach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Angesichts der Lage im Iran kann nicht von einer Situation allgemeiner Gewalt oder von kriegerischen oder bürgerkriegsähnlichen Verhältnissen gesprochen werden, weshalb für den Beschwerdeführer in dieser Hinsicht bei einer Rückkehr keine konkrete Gefährdung besteht. Aus individuellen Gründen kann der Vollzug der Wegweisung beispielsweise als nicht zumutbar erscheinen, wenn die zurückzuführende Person (kleine) Kinder in ihrer Begleitung hat, für mehrere Kinder verantwortlich ist, sich bereits in einem vorangeschrittenen Alter oder in einem schlechten gesundheitlichen Zustand befindet oder wenn es sich bei der Person um eine alleinstehende, nicht über ein soziales oder familiäres Netz verfügende Frau handelt (vgl. etwa die Urteile des Bundesverwaltungsgerichts D-1356/ 2008 vom 1. Februar 2011 und E-790/2009 vom 20. Dezember 2010; vgl. eingehend auch Entscheidungen und Mitteilungen der Schweizerischen Asylrekurskommission [EMARK] 2004 Nr. 33). Beim Beschwerdeführer handelt es sich um einen jungen Mann, der jahrelang in einer Schneiderei gearbeitet hat und seinen Lebensunterhalt selbstständig bestreiten konnte. Auch verfügt er über ein familiäres und zweifelsohne über ein soziales Netz, welches ihm bei seiner Rückkehr in das Heimatland unterstützen wird. Unter diesen Umständen ist der Vollzug der Wegweisung des Beschwerdeführers zumutbar.</w:t>
      </w:r>
    </w:p>
    <w:p>
      <w:r>
        <w:rPr>
          <w:b/>
        </w:rPr>
        <w:t>E. 5.4</w:t>
      </w:r>
    </w:p>
    <w:p>
      <w:r>
        <w:t>Nach Art. 83 Abs. 2 AuG ist der Wegweisungsvollzug schliesslich auch als möglich zu bezeichnen, da es dem Beschwerdeführer obliegt, sich bei der zuständigen Vertretung des Heimatstaates die für eine Rückkehr notwendigen Reisedokumente zu beschaffen (vgl. Art. 8 Abs. 4 AsylG und dazu auch BVGE 2008/34 E. 12 S. 513 - 515).</w:t>
      </w:r>
    </w:p>
    <w:p>
      <w:r>
        <w:rPr>
          <w:b/>
        </w:rPr>
        <w:t>E. 5.5</w:t>
      </w:r>
    </w:p>
    <w:p>
      <w:r>
        <w:t>Die Vorinstanz hat den Wegweisungsvollzug zusammenfassend zu Recht als zulässig, zumutbar und möglich erachtet, weshalb die Anordnung der vorläufigen Aufnahme ausser Betracht fällt.</w:t>
      </w:r>
    </w:p>
    <w:p>
      <w:r>
        <w:rPr>
          <w:b/>
        </w:rPr>
        <w:t>E. 6</w:t>
      </w:r>
    </w:p>
    <w:p>
      <w:r>
        <w:t>Nach dem Gesagten ergibt sich, dass die angefochtene Verfügung Bundesrecht nicht verletzt, den rechtserheblichen Sachverhalt richtig und vollständig feststellt und angemessen ist (Art. 106 Abs. 1 AsylG). Die Beschwerde ist abzuweisen.</w:t>
      </w:r>
    </w:p>
    <w:p>
      <w:r>
        <w:rPr>
          <w:b/>
        </w:rPr>
        <w:t>E. 7</w:t>
      </w:r>
    </w:p>
    <w:p>
      <w:r>
        <w:t>Bei diesem Ausgang des Verfahrens sind die Kosten dem Beschwer­deführer aufzuerlegen (Art. 63 Abs. 1 VwVG) und insgesamt auf Fr. 600.- festzusetzen (Art. 1 - 3 des Reglements vom 21. Februar 2008 über die Kosten und Entschädigungen vor dem Bundesverwaltungsgericht [VGKE, SR 173.320.2]). Dem Gesuch um Gewährung der unentgeltlichen Rechtspflege kann nicht entsprochen werden, weil die Beschwerde als aussichtslos zu gelten hat (Art. 65 Abs. 1 VwVG). Die übrigen prozessualen Anträge, insbesondere das Gesuch um Verzicht auf die Erhebung eines Kostenvorschusses, sind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