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E-867/2015 vom 26. Februar 2015</w:t>
      </w:r>
    </w:p>
    <w:p>
      <w:r>
        <w:t>Bundesverwaltungsgericht, 2015-02-26, DE</w:t>
      </w:r>
    </w:p>
    <w:p>
      <w:r>
        <w:rPr>
          <w:b/>
        </w:rPr>
        <w:t xml:space="preserve">Quelle: </w:t>
      </w:r>
      <w:r>
        <w:t>https://mcp.opencaselaw.ch/entscheid/bvger_E-867_2015</w:t>
      </w:r>
    </w:p>
    <w:p>
      <w:r>
        <w:t>FR: TAF E-867/2015 du 26 février 2015</w:t>
      </w:r>
    </w:p>
    <w:p>
      <w:r>
        <w:t>IT: TAF E-867/2015 del 26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Vorbringen der Beschwerdeführerin hielten den Anforderungen an das Glaubhaftmachen gemäss Art. 7 AsylG nicht stand. Die Beschwerdeführerin spreche kein Chinesisch und nur wenig Kham-Dialekt, weshalb von allem Anfang an Zweifel an der geltend gemachten Herkunft bestanden hätten. Im Rahmen der Anhörung sei die Beschwerdeführerin daher vertieft nach dem Reiseweg sowie ihrem Länder- und Alltagswissen befragt worden. Ihre Ausführungen hätten den Eindruck bestätigt, dass sie nicht in der angegebenen Region gelebt habe und sie sich das vorhandene Wissen angeeignet habe. Sie habe zwar einige Angaben bezüglich der Geographie ihres Heimatortes und der näheren Umgebung machen können, sobald jedoch nach den konkreten Lebensumständen gefragt worden sei, habe sie vage, undifferenziert und teilweise falsch geantwortet. So sei sie weder mit dem alltäglichen Sprachgebrauch in der Region noch mit den Nennwerten und dem Erscheinungsbild der in Tibet zirkulierenden Geldscheine vertraut. Obwohl ihre Familie von der Landwirtschaft gelebt habe und auch sie mitgeholfen habe, sei sie gänzlich uninformiert in Bezug auf Fruchtwechsel oder die erforderlichen Brachen und Düngungen. Zudem widerspreche sie sich bezüglich der familieneigenen Anbauprodukte und habe falsche Angaben bezüglich der gängigen altersabhängigen Bezeichnungen für Yaks und Dris gemacht, obwohl die Familie solche besessen habe. Weiter hätten ihre Angaben bezüglich der übrigen Lebensumstände im Autonomen Gebiet Tibet den aktuellen Realitäten nicht entsprochen. So habe sie erklärt, dass niemand in ihrem Dorf ein Handy oder ein Telefon besitze und es in ihrem Dorf keine Elektrizität gebe. Insgesamt sei nicht davon auszugehen, dass die Beschwerdeführerin in der von ihr angegebenen Region sozialisiert worden sei. Es handle sich bei ihr demnach nicht um eine Staatsangehörige der Volksrepublik China. Es sei mit überwiegender Wahrscheinlichkeit davon auszugehen, dass die Beschwerdeführerin in der exiltibetischen Diaspora in einem Drittland gelebt habe.</w:t>
      </w:r>
    </w:p>
    <w:p>
      <w:r>
        <w:rPr>
          <w:b/>
        </w:rPr>
        <w:t>E. 4.2</w:t>
      </w:r>
    </w:p>
    <w:p>
      <w:r>
        <w:t>Die Beschwerdeführerin bringt vor, indem in ihrem Fall kein Gutachten von einem unabhängigen Tibet-Experten erstellt worden sei, habe die Vorinstanz den Sachverhalt nicht richtig erfasst. Sinngemäss rügt sie damit nicht eine unrichtige oder unvollständige Sachverhaltsfeststellung, sondern die Verletzung des Untersuchungsgrundsatzes. Indes verkennt die Beschwerdeführerin, dass der Gesetzgeber keine Pflicht zur Erstellung von Experten-Gutachten zur Abklärung des rechtlich relevanten Sachverhalts vorsieht. Grundsätzlich bringt die Beschwerdeführerin mit ihren Ausführungen denn auch vor, dass sie mit der vorinstanzlichen Beweiswürdigung, ihre Staatsangehörigkeit sei als "nicht bekannt" anzunehmen, nicht einverstanden ist. Darauf ist nachstehend näher einzugehen.</w:t>
      </w:r>
    </w:p>
    <w:p>
      <w:r>
        <w:rPr>
          <w:b/>
        </w:rPr>
        <w:t>E. 4.3</w:t>
      </w:r>
    </w:p>
    <w:p>
      <w:r>
        <w:t>Die Beschwerdeführerin rügt sinngemäss, die Vorinstanz habe den Massstab des Glaubhaftmachens nicht richtig angewendet und damit Bundesrecht verletzt. Die vorinstanzliche Beweiswürdigung in Bezug auf das Glaubhaftmachen ist indes nicht zu beanstanden. In der angefochtenen Verfügung werden die erheblichen Zweifel an der Glaubhaftigkeit damit begründet, dass die Vorbringen der Beschwerdeführerin unsubstantiiert, nicht nachvollziehbar und widersprüchlich seien. Was in der Rechtsmitteleingabe dagegen vorgebracht wird, ist nicht geeignet, die Vorbringen der Beschwerdeführerin in einem anderen Licht erscheinen zu lassen. In der Tat weisen die Angaben der Beschwerdeführerin in den genannten Bereichen diverse Wissensdefizite und Widersprüche auf, welche sie in der Rechtsmitteleingabe nicht erklären kann. Die Beschwerdeführerin merkt selbst an, dass sie nur "ein bischen" Kham-Dialekt spreche und begründet dies damit, dass sie lange in Nepal gelebt habe (SEM-Akten, A7/12 S. 4 und A15/37 F40 ff.). Gemäss eigener Angaben hat sie jedoch nur fünf Monate in Nepal gelebt. Dass sie in diesen fünf Monaten ihren Dialekt verloren habe, ist nicht glaubhaft. Wie die Vorinstanz richtig feststellte, widerspricht sie sich in Bezug auf das von der Familie angebaute Gemüse (SEM-Akten, A7/12 S. 4 und A15/37 F79 ff.) und ihr fehlt grundsätzliches Wissen bezüglich Landwirtschaft und Nutztierhaltung (SEM-Akten A7/12 F77 ff. und F111 ff.), welche ihre Familie angeblich betrieb. Weitere Vorbringen widersprechen schlicht den tatsächlichen Begebenheiten im heutigen Autonomen Gebiet Tibet, wie ihre Aussagen bezüglich Elektrizität und Mobiltelefonie (SEM-Akten, A 15/37 F21 ff.). Weiter vermag sie mit dem blossen Festhalten am Wahrheitsgehalt ihrer Aussagen und der geltend gemachten chinesischen Staatsangehörigkeit nicht substantiiert darzutun, inwiefern die Vorinstanz zu Unrecht auf Unglaubhaftigkeit geschlossen hat. Um diesbezüglich Wiederholungen zu vermeiden, kann vollumfänglich auf die zutreffenden Erwägungen in der angefochtenen Verfügung verwiesen werden. Die erhobene Rüge erweist sich als unzutreffend.</w:t>
      </w:r>
    </w:p>
    <w:p>
      <w:r>
        <w:rPr>
          <w:b/>
        </w:rPr>
        <w:t>E. 4.4</w:t>
      </w:r>
    </w:p>
    <w:p>
      <w:r>
        <w:t>In ihrer Rechtsmitteleingabe macht die Beschwerdeführerin geltend, anlässlich der Befragung sei es zu zahlreichen Missverständnissen zwischen ihr und dem Dolmetscher sowie zu Übersetzungsfehlern gekommen. Sie habe nie ausgesagt, dass sie "nur (noch) ein wenig Kham Dialekt" spreche. Auch die Widersprüche bezüglich der durch ihre Familie angebauten Gemüsesorten würden auf einem Übersetzungsfehler beruhen. Der Übersetzer sei eine ältere Person gewesen und sie habe sich nicht getraut ihm nochmals zu widersprechen, da Tibeter älteren Menschen generell nicht widersprechen würden. Wäre tatsächlich unkorrekt protokolliert worden, hätte es der Beschwerdeführerin oblegen, anlässlich der Rückübersetzung entsprechende Korrekturen anzubringen. Solches hat sie offensichtlich nicht getan. Schliesslich anerkannte die Beschwerdeführerin am Schluss der Befragung zur Person unterschriftlich, dass das Protokoll ihren Aussagen und der Wahrheit entspreche und in eine ihr verständliche Sprache rückübersetzt wurde (SEM-Akten, A7/12 S. 10). Dabei hat sie sich behaften zu lassen. Missverständnisse und Übersetzungsfehler sind somit auszuschliessen.</w:t>
      </w:r>
    </w:p>
    <w:p>
      <w:r>
        <w:rPr>
          <w:b/>
        </w:rPr>
        <w:t>E. 5.1</w:t>
      </w:r>
    </w:p>
    <w:p>
      <w:r>
        <w:t>Mit der Vorinstanz ist festzustellen, dass weder die Identität noch die Staatsangehörigkeit beziehungsweise das Herkunftsland der Beschwerdeführerin geklärt ist. Das Verhalten der Beschwerdeführerin stellt sodann eine Verletzung der ihr obliegenden Mitwirkungspflicht (Art. 8 AsylG) dar. Durch die Verletzung dieser Pflicht verunmöglicht die Beschwerdeführerin die Abklärung, welchen effektiven Status sie im Staat ihres vormaligen Aufenthalts hatte. Die Folgen dieses Verhaltens hat die Beschwerdeführerin selber zu verantworten. Insoweit ist auch die Berufung auf das Urteil des Bundesverwaltungsgericht D-4874/2007 vom 31. März 2010, in dem auf EMARK 2005 Nr. 1 E. 4.1-4.3 verwiesen wird, unbehelflich, da auch bei Personen tibetischer Ethnie, die ihre wahre Herkunft verschleiern oder verheimlichen, vermutungsweise davon auszugehen ist, dass keine flüchtlings- oder wegweisungsbeachtlichen Gründe gegen eine Rückkehr an ihren bisherigen Aufenthaltsort bestehen (vgl. BVGE 2014/12 E. 5.10 und 6.).</w:t>
      </w:r>
    </w:p>
    <w:p>
      <w:r>
        <w:rPr>
          <w:b/>
        </w:rPr>
        <w:t>E. 5.2</w:t>
      </w:r>
    </w:p>
    <w:p>
      <w:r>
        <w:t>Die Beschwerdeführerin macht unter Hinweis auf EMARK 2006 Nr. 1 geltend, durch ihre Flucht erfülle sie aufgrund subjektiver Nachfluchtgründe die Flüchtlingseigenschaft. Wie vorstehend dargelegt, vermag die Beschwerdeführerin weder ihre Fluchtgründe, Staatsangehörigkeit, Herkunft noch ihre legale oder illegale Ausreise auch nur schon ansatzweise glaubhaft zu machen. Bei dieser Sachlage ist auch das Vorliegen von subjektiven Nachfluchtgründen gemäss Art. 54 AsylG zu verneinen.</w:t>
      </w:r>
    </w:p>
    <w:p>
      <w:r>
        <w:rPr>
          <w:b/>
        </w:rPr>
        <w:t>E. 5.3</w:t>
      </w:r>
    </w:p>
    <w:p>
      <w:r>
        <w:t>Insgesamt hat die Beschwerdeführerin somit nichts vorgebracht, das geeignet wäre, einen Fluchtgrund in Bezug auf die Volksrepublik China nachzuweisen oder zumindest glaubhaft zu machen. Es besteht somit auch keine Veranlassung, ein Sprach- und Ländergutachten in Auftrag zu geben. Der entsprechende Antrag ist abzuweisen. Die Vorinstanz hat ihr Asylgesuch demnach zu Recht abgelehnt.</w:t>
      </w:r>
    </w:p>
    <w:p>
      <w:r>
        <w:rPr>
          <w:b/>
        </w:rPr>
        <w:t>E. 6</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7.1</w:t>
      </w:r>
    </w:p>
    <w:p>
      <w:r>
        <w:t>In Bezug auf den Vollzug der Wegweisung hält die Vorinstanz vorab fest, die Beschwerdeführerin habe die geltend gemachte Staatsangehörigkeit nicht glaubhaft gemacht. Das Gericht folgt der Vorinstanz sowohl in diesem Punkt als auch hinsichtlich der weiteren diesbezüglichen Erwägungen. Ihre Herkunft und Staatsangehörigkeit gilt deshalb als unbekannt.</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4 des Dispositivs der angefochtenen Verfügung).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