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E-863/2013 vom 29. Mai 2013</w:t>
      </w:r>
    </w:p>
    <w:p>
      <w:r>
        <w:t>Bundesverwaltungsgericht, 2013-05-29, DE</w:t>
      </w:r>
    </w:p>
    <w:p>
      <w:r>
        <w:rPr>
          <w:b/>
        </w:rPr>
        <w:t xml:space="preserve">Quelle: </w:t>
      </w:r>
      <w:r>
        <w:t>https://mcp.opencaselaw.ch/entscheid/bvger_E-863_2013</w:t>
      </w:r>
    </w:p>
    <w:p>
      <w:r>
        <w:t>FR: TAF E-863/2013 du 29 mai 2013</w:t>
      </w:r>
    </w:p>
    <w:p>
      <w:r>
        <w:t>IT: TAF E-863/2013 del 29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1200.- werden dem Gesuchsteller unter Verrechnung mit dem in gleicher Höhe geleisteten Kostenvorschuss auferlegt.</w:t>
      </w:r>
    </w:p>
    <w:p>
      <w:r>
        <w:rPr>
          <w:b/>
        </w:rPr>
        <w:t>E. 3</w:t>
      </w:r>
    </w:p>
    <w:p>
      <w:r>
        <w:t>Dieses Urteil geht an den Gesuchsteller, das BFM und die kantonale Migrationsbehörde. Der vorsitzende 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