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E-8611/2007 vom 15. November 2010</w:t>
      </w:r>
    </w:p>
    <w:p>
      <w:r>
        <w:t>Bundesverwaltungsgericht, 2010-11-15, DE</w:t>
      </w:r>
    </w:p>
    <w:p>
      <w:r>
        <w:rPr>
          <w:b/>
        </w:rPr>
        <w:t xml:space="preserve">Quelle: </w:t>
      </w:r>
      <w:r>
        <w:t>https://mcp.opencaselaw.ch/entscheid/bvger_E-8611_2007</w:t>
      </w:r>
    </w:p>
    <w:p>
      <w:r>
        <w:t>FR: TAF E-8611/2007 du 15 novembre 2010</w:t>
      </w:r>
    </w:p>
    <w:p>
      <w:r>
        <w:t>IT: TAF E-8611/2007 del 15 novembre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vorläufigen Aufnahme endgültig (Art. 84 Abs.2 und 3 des Bundesgesetzes vom 16. Dezember 2005 über die Ausländerinnen und Ausländer [AuG, SR 142.20]);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112 Abs. 1 AuG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3.1</w:t>
      </w:r>
    </w:p>
    <w:p>
      <w:r>
        <w:t>Am 1. Januar 2008 trat das AuG in Kraft und gleichzeitig wurde das Bundesgesetz vom 26. März 1931 über Aufenthalt und Niederlassung der Ausländer (ANAG, BS 1 121) aufgehoben. Gemäss Art. 126a Abs. 4 AuG gilt - unter Vorbehalt der Absätze 5 bis 7 - für Personen, die im Zeitpunkt des Inkrafttretens der am 16. Dezember 2005 beschlossenen Änderung des Asylgesetzes sowie des AuG vorläufig aufgenommen sind, neues Recht. Der Beschwerdeführer wurde vom BFM mit Verfügung vom 24. Oktober 2005 gestützt auf Art. 44 Abs. 2 des Asylgesetzes vom 26. Juni 1998 (AsylG, SR 142.31) i.V.m. Art. 14a Abs. 4 ANAG vorläufig aufgenommen und war demnach, aufgrund der aufschiebenden Wirkung der vorliegenden Beschwerde, auch am 1. Januar 2008 vorläufig aufgenommen. Gemäss der genannten übergangsrechtlichen Regelung ist das Vorliegen der Voraussetzungen für die Aufhebung der vorläufigen Aufnahme nach Art. 84 Abs. 2 AuG zu prüfen.</w:t>
      </w:r>
    </w:p>
    <w:p>
      <w:r>
        <w:rPr>
          <w:b/>
        </w:rPr>
        <w:t>E. 3.2</w:t>
      </w:r>
    </w:p>
    <w:p>
      <w:r>
        <w:t>Wurde eine Ausländerin oder ein Ausländer vorläufig in der Schweiz aufgenommen, so überprüft das BFM periodisch, ob im jeweiligen Einzelfall die Voraussetzungen für eine vorläufige Aufnahme noch gegeben sind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sowie möglich (Art. 83 Abs. 2 AuG) ist, sich rechtmässig in ihren Heimat-, in den Herkunftsstaat oder in einen Drittstaat zu begeben.</w:t>
      </w:r>
    </w:p>
    <w:p>
      <w:r>
        <w:rPr>
          <w:b/>
        </w:rPr>
        <w:t>E. 3.3</w:t>
      </w:r>
    </w:p>
    <w:p>
      <w:r>
        <w:t>Gegenstand des vorliegenden Beschwerdeverfahrens bildet somit die Frage, ob das BFM - vor dem Hintergrund der heutigen Verhältnisse im Irak sowie der individuellen Situation des Beschwerdeführers - zu Recht den Wegweisungsvollzug als zulässig, zumutbar und möglich erklärt und die am 31. Januar 2006 verfügte vorläufige Aufnahme des Beschwerdeführers aufgehoben hat. Dabei bleibt anzumerken, dass bezüglich der Geltendmachung von Wegweisungsvollzugshindernissen der gleiche Beweisstandard gilt, wie bei der Flüchtlingseigenschaft, das heisst, sie sind zu beweisen, wenn der strikte Beweis möglich ist, und andernfalls wenigstens glaubhaft zu machen (vgl. dazu Walter Stöckli, Asyl, in: Uebersax/Rudin/Hugi Yar/Geiser, Ausländerrecht, 2. Aufl., Basel 2009, Rz. 11.148).</w:t>
      </w:r>
    </w:p>
    <w:p>
      <w:r>
        <w:rPr>
          <w:b/>
        </w:rPr>
        <w:t>E. 4.1.1</w:t>
      </w:r>
    </w:p>
    <w:p>
      <w:r>
        <w:t>Der Vollzug ist nicht zulässig, wenn völkerrechtliche Verpflichtungen der Schweiz einer Weiterreise der Ausländerin oder des Ausländers in den Heimat-, Herkunfts- oder in einen Drittstaat entgegenstehen (Art. 83 Abs. 3 AuG).</w:t>
      </w:r>
    </w:p>
    <w:p>
      <w:r>
        <w:rPr>
          <w:b/>
        </w:rPr>
        <w:t>E. 4.1.2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 nur Personen, welche die Flüchtlingseigenschaft im Sinne von Art. 3 AsylG respektive Art. 1 A FK erfüllen. Nachdem das BFM in seiner Verfügung vom 27. Januar 2003 festgestellt hat, dass der Beschwerdeführer die Flüchtlingseigenschaft nicht erfüllt, und der Entscheid in diesem Punkt unangefochten in Rechtskraft erwachsen ist, kann das Prinzip des flüchtlingsrechtlichen Rückschiebungsverbots vorliegend nicht zur Anwendung gelangen. Der Vollzug der Wegweisung des Beschwerdeführers ist daher unter dem Aspekt von Art. 5 AsylG rechtmässig.</w:t>
      </w:r>
    </w:p>
    <w:p>
      <w:r>
        <w:rPr>
          <w:b/>
        </w:rPr>
        <w:t>E. 4.1.3</w:t>
      </w:r>
    </w:p>
    <w:p>
      <w:r>
        <w:t>Im Weiteren darf -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 niemand in einen Staat ausgeschafft werden, in dem ihm Folter oder eine andere Art unmenschlicher oder erniedrigender Strafe oder Behandlung droht.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mit der Berufung auf eine Bedrohungslage im Zusammenhang mit einer Blutrache nicht gelungen. Das BFM verwies in der angefochtenen Verfügung vom 22. November 2007 auf seine überzeugende und ausführliche Begründung in der rechtskräftigen Verfügung vom 27. Januar 2003, wonach die Vorbringen des Beschwerdeführers nicht asylrelevant seien, da der Beschwerdeführer bei der PUK Schutz gegen allfällige Übergriffe der verfeindeten Familie suchen könne. An dieser Einschätzung vermag die vorliegende Beschwerde nichts zu ändern. Das Entscheiddispositiv erwuchs unangefochten in Rechtskraft, weshalb die Nichtanerkennung der Flüchtlingseigenschaft und die Ablehnung des Asylgesuchs - wie bereits in der Vernehmlassung vom 22. Januar 2008 zutreffend festgestellt wurde - nicht Prozessgegenstand bilden können. Nicht in Rechtskraft erwächst jedoch die Begründung eines Entscheides. Vorliegend wird nun aufgrund der drohenden Blutrache sinngemäss eine drohende Verletzung von Art. 3 EMRK und damit ein zu beurteilendes Vollzugshindernis geltend gemacht. Aufgrund der entsprechenden Vorbringen schliesst auch das Bundesverwaltungsgericht, dass keine konkrete Verfolgungsgefahr für den Beschwerdeführer besteht. Zum einen hat die Familie des Beschwerdeführers als "Täterfamilie" bereits den gleichen Verlust erlitten wie die Opferfamilie. So wurden, gemäss den Angaben des Beschwerdeführers, bei einer Auseinandersetzung zwei Mitglieder der verfeindeten Familie und mit seinem Bruder und Onkel auch zwei Mitglieder der Familie des Beschwerdeführers getötet. Somit ist nach den Regeln der Blutrache die Blutbilanz ausgeglichen (vgl. Wolfgang Heindel, Irak: "Blutrache begründet keinen Abschiebungsschutz", Bundesamt für Migration und Flüchtlinge (BBfA) in Entscheidungen Asyl, 8/06). Zum anderen hat der Beschwerdeführer denn auch explizit ausgesagt, vom verfeindeten Clan weder schriftlich noch mündlich jemals bedroht worden zu sein (vgl. A7/10 Antwort 42). Dem Bundesverwaltungsgericht ist zudem bekannt, dass die herrschenden Parteien im Nordirak in der Vergangenheit bei Streitigkeiten zwischen verschiedenen Familien und Clans öfters schlichtend eingegriffen und eine Aussöhnung herbeigeführt haben. Vor diesem Hintergrund ist zu bezweifeln, dass der Beschwerdeführer bei der PUK keinen Schutz hätte finden können und ihm einzig die Möglichkeit der Emigration offen stand. Dies gilt umso mehr, als er der PUK seine Loyalität als Bodyguard für seinen Peschmergabruder hinreichend unter Beweis gestellt hatte. Den Akten ist jedoch zu entnehmen, dass sich der Beschwerdeführer nicht um Schutz durch die Behörde der PUK bemüht hat, er somit nicht behaupten kann, diese hätte ihm nicht geholfen. Daher sind im Falle des Beschwerdeführers keine individuellen Gründe ersichtlich, welche gegen die Zulässigkeit des Wegweisungsvollzuges sprechen. Nach Praxis des Bundesverwaltungsgerichts lässt schliesslich auch die allgemeine Sicherheits- und Menschenrechtslage in den drei Nordprovinzen des Irak (Dohuk, Erbil und Suleymaniya) den Wegweisungsvollzug dorthin im heutigen Zeitpunkt nicht als unzulässig erscheinen, da von hinreichend gefestigten Verhältnissen auszugehen ist und die Sicherheits- und Justizbehörden der drei irakisch-kurdischen Nordprovinzen grundsätzlich in der Lage und auch willens sind, den Einwohnern Schutz vor Verfolgung zu gewähren (vgl. dazu BVGE 2008/4).</w:t>
      </w:r>
    </w:p>
    <w:p>
      <w:r>
        <w:rPr>
          <w:b/>
        </w:rPr>
        <w:t>E. 4.1.4</w:t>
      </w:r>
    </w:p>
    <w:p>
      <w:r>
        <w:t>Der Vollzug der Wegweisung ist demnach sowohl im Sinne der asyl- als auch der völkerrechtlichen Bestimmungen zulässig.</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4.2.1</w:t>
      </w:r>
    </w:p>
    <w:p>
      <w:r>
        <w:t>Das Bundesverwaltungsgericht geht nach einer umfassenden Beurteilung der aktuellen Situation in den drei nordirakischen Provinzen Dohuk, Suleymaniya und Erbil davon aus, dass in den drei kurdischen Provinzen keine Situation allgemeiner Gewalt herrscht und die dortige politische Lage nicht dermassen angespannt ist, als dass eine Rückführung dorthin als generell unzumutbar betrachtet werden müsste (vgl. dazu im Einzelnen BVGE 2008/5). Nachdem die Region mit Direktflügen aus Europa sowie aus den Nachbarstaaten erreichbar ist, entfällt zudem das Element einer unzumutbaren Rückreise via Bagdad und auf dem Landweg durch den von Gewalt heimgesuchten Zentralirak. Zusammenfassend wird im erwähnten Entscheid festgehalten, dass die Anordnung des Wegweisungsvollzugs in der Regel für alleinstehende, gesunde und junge kurdische Männer, die ursprünglich aus einer der drei irakisch-kurdischen Provinzen stammen oder eine längere Zeit dort gelebt haben und dort nach wie vor über ein soziales Netz (Familie, Verwandtschaft oder Bekanntenkreis) oder Parteibeziehungen verfügen, zumutbar ist (vgl. BVGE 2008/5 E. 7.5; insbes. 7.5.8).</w:t>
      </w:r>
    </w:p>
    <w:p>
      <w:r>
        <w:rPr>
          <w:b/>
        </w:rPr>
        <w:t>E. 4.2.2</w:t>
      </w:r>
    </w:p>
    <w:p>
      <w:r>
        <w:t>Die Sicherheitssituation im Nordirak hat sich seit der Publikation des erwähnten Urteils nicht verschlechtert. In der überwiegenden Mehrheit der Berichte von Regierungs- und Nichtregierungsorganisationen sowie des UN-Sicherheitsrats wird eine insgesamt stabile Situation beschrieben (vgl. dazu UK Home Office, Country of Origin Information Report vom 16. September 2009 über die Kurdistan Regional Government Area of Iraq). Auch die Schweizerische Flüchtlingshilfe (SFH) spricht in einem Lagebericht vom Sommer 2008 von einer "vergleichsweise friedlichen und stabilen Situation" in den kurdischen Provinzen. Die in der Beschwerdeschrift vom 19. Dezember 2007 erwähnte fortgesetzte türkische Militäroffensive gegen PKK-Stellungen im Nordirak sowie grenzüberschreitende Bombenangriffe des iranischen Militärs, hätten die allgemeine Sicherheitslage jedenfalls nicht beeinflusst (vgl. Michael Kirschner, SFH, Irak, Update: Aktuelle Entwicklungen, vom 14. August 2008, Ziff. 3.1, S. 9). Nach dem Gesagten erweist sich die vom Beschwerdeführer geäusserte Befürchtung betreffend der immer noch instabilen Lage in den drei Nordprovinzen Dohuk, Erbil und Suleymaniya - welche auch vom UNHCR und der Amnesty International beklagt werde - als nicht stichhaltig und die diesbezüglichen Vorbingen vermögen nicht zu überzeugen.</w:t>
      </w:r>
    </w:p>
    <w:p>
      <w:r>
        <w:rPr>
          <w:b/>
        </w:rPr>
        <w:t>E. 4.2.3</w:t>
      </w:r>
    </w:p>
    <w:p>
      <w:r>
        <w:t>Der Beschwerdeführer gehört nicht zu einer besonders verletzlichen Gruppe (namentlich Familien mit Kindern, alleinstehende Frauen ohne spezielle Berufsbildung, Kranke und Betagte, Kurden mit Herkunft ausserhalb der drei Provinzen Dohuk, Erbil und Suleymaniya, Nichtkurden aus dem Süd- und Zentralirak) für welche nach der Praxis des Bundesverwaltungsgerichts die Zumutbarkeit des Vollzuges nur mit grosser Zurückhaltung zu bejahen ist.</w:t>
      </w:r>
    </w:p>
    <w:p>
      <w:r>
        <w:rPr>
          <w:b/>
        </w:rPr>
        <w:t>E. 4.2.4</w:t>
      </w:r>
    </w:p>
    <w:p>
      <w:r>
        <w:t>Sodann ergeben sich aus den Akten und den Angaben des Beschwerdeführers keinerlei konkrete Anhaltspunkte, die darauf schliessen liessen, der alleinstehende und - soweit aktenkundig - gesunde, nunmehr 28-jährige Beschwerdeführer gerate im Falle der Rückkehr in die nordirakische Provinz Suleymaniya aus individuellen Gründen wirtschaftlicher, sozialer oder gesundheitlicher Natur in eine existenzbedrohende Situation. Dabei soll nicht in Abrede gestellt werden, dass eine Rückkehr des Beschwerdeführers zumindest anfangs mit wirtschaftlichen und sozialen Schwierigkeiten verbunden sein könnte (vgl. zur Situation von zurückkehrenden, abgewiesenen Asylsuchenden UK Home Office, a.a.O., Ziff. 26.23). Allfällige wirtschaftlichen Schwierigkeiten stellen jedoch nach der weiterhin gültigen Rechtsprechung der ARK keine existenzbedrohende Situation dar, welche den Vollzug der Wegweisung in den Heimatstaat als unzumutbar erscheinen lassen (EMARK 2003 Nr. 24 E. 5.e S. 159). Gemäss den vom Beschwerdeführer anlässlich des Asylverfahrens zu Protokoll gegebenen Ausführungen hat er praktisch seit seiner Geburt bis zu seiner Ausreise Mitte 2002 in B._______ (Provinz Suleymaniya) gelebt und im (...), das die Familie führte, gearbeitet, bevor er (...) wurde. Somit hat er insbesondere die prägenden Kinder- und Jugendjahre in seiner Heimat verbracht und ist mit den dortigen Lebensverhältnissen gut vertraut. Zur Überbrückung der voraussichtlichen Anfangsschwierigkeiten kann der Beschwerdeführer auf ein verwandtschaftliches Beziehungsnetz zählen, welches ihn bei der Stellensuche und der sozialen Reintegration unterstützen könnte, selbst wenn diese, wie der Grossteil der dort lebenden Bevölkerung, durch die Kriegswirren beeinträchtigt worden sind: so waren gemäss seinen Aussagen im Zeitpunkt der Ausreise seine Mutter, seine Schwester, die mittlerweile verheiratet ist, sowie diverse Onkel in Suleymaniya ansässig. Zudem kann er beim BFM Rückkehrhilfe beantragen. Im Rahmen der Gesamtwürdigung der massgeblichen Beurteilungskriterien ist daher nicht davon auszugehen, dass der Beschwerdeführer bei einer Rückkehr in die Provinz Suleymaniya in eine existenzbedrohende Situation geraten wird. Gestützt auf die vorstehenden Erwägungen ist der Vollzug der Wegweisung sowohl vor dem Hintergrund der allgemeinen Lage im Nordirak als auch in individueller Hinsicht als zumutbar zu erachten.</w:t>
      </w:r>
    </w:p>
    <w:p>
      <w:r>
        <w:rPr>
          <w:b/>
        </w:rPr>
        <w:t>E. 4.3</w:t>
      </w:r>
    </w:p>
    <w:p>
      <w:r>
        <w:t>Schliesslich ist der Beschwerdeführer im Besitze eines irakischen Reisepasses (vgl. Schreiben der Sicherheitsdirektions des Kantons E._______ vom 13. Juli 2010) weshalb der Vollzug der Wegweisung auch als möglich zu bezeichnen ist (Art. 83 Abs. 2 AuG).</w:t>
      </w:r>
    </w:p>
    <w:p>
      <w:r>
        <w:rPr>
          <w:b/>
        </w:rPr>
        <w:t>E. 5</w:t>
      </w:r>
    </w:p>
    <w:p>
      <w:r>
        <w:t>Insgesamt ist die durch die Vorinstanz verfügte Aufhebung der vorläufigen Aufnahme zu bestätigen. Die Vorinstanz hat den Vollzug der Wegweisung zu Recht als zulässig, zumutbar und möglich erachtet. Nach dem Gesagten fällt eine Aufrechterhaltung der vorläufigen Aufnahme ausser Betracht (Art. 83 Abs. 1-4 AuG). Soweit der Beschwerdeführer geltend macht, der Vollzug der Wegweisung würde für ihn wegen seiner Integration in der Schweiz eine grosse Härte bedeuten, ist auf die Bestimmung von Art. 14 AsylG hinzuweisen. Gemäss dieser Regelung kann der zugewiesene Aufenthaltskanton mit Zustimmung des Bundesamtes einer ausländischen Person eine Aufenthaltsbewilligung erteilen, wenn die betroffene Person sich seit Einreichung des Asylgesuches mindestens fünf Jahre in der Schweiz aufhält, ihr Aufenthaltsort den Behörden immer bekannt war und wegen der fortgeschrittenen Integration ein schwerwiegender persönlicher Härtefall vorliegt (Art. 14 Abs. 2 Bstn. a-c AsylG). Es steht dem Beschwerdeführer frei, sich diesbezüglich mit der zuständigen kantonalen Behörde in Verbindung zu setzen.</w:t>
      </w:r>
    </w:p>
    <w:p>
      <w:r>
        <w:rPr>
          <w:b/>
        </w:rPr>
        <w:t>E. 6</w:t>
      </w:r>
    </w:p>
    <w:p>
      <w:r>
        <w:t>Zusammenfassend ergibt sich somit, dass die angefochtene Verfügung Bundesrecht nicht verletzt, den rechtserheblichen Sachverhalt richtig und vollständig feststellt und angemessen ist (Art. 49 VwVG). Die Beschwerde ist daher abzuweisen.</w:t>
      </w:r>
    </w:p>
    <w:p>
      <w:r>
        <w:rPr>
          <w:b/>
        </w:rPr>
        <w:t>E. 7</w:t>
      </w:r>
    </w:p>
    <w:p>
      <w:r>
        <w:t>Bei diesem Ausgang des Beschwerdeverfahrens sind dem Beschwerdeführer die Kosten von Fr. 600.- aufzuerlegen (Art. 63 Abs. 1 VwVG sowie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