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E-8601/2007 vom 8. April 2008</w:t>
      </w:r>
    </w:p>
    <w:p>
      <w:r>
        <w:t>Bundesverwaltungsgericht, 2008-04-08, DE</w:t>
      </w:r>
    </w:p>
    <w:p>
      <w:r>
        <w:rPr>
          <w:b/>
        </w:rPr>
        <w:t xml:space="preserve">Quelle: </w:t>
      </w:r>
      <w:r>
        <w:t>https://mcp.opencaselaw.ch/entscheid/bvger_E-8601_2007</w:t>
      </w:r>
    </w:p>
    <w:p>
      <w:r>
        <w:t>FR: TAF E-8601/2007 du 8 avril 2008</w:t>
      </w:r>
    </w:p>
    <w:p>
      <w:r>
        <w:t>IT: TAF E-8601/2007 del 8 aprile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wird vorliegend auf die Durchführung eines Schriftenwechsels verzichtet.</w:t>
      </w:r>
    </w:p>
    <w:p>
      <w:r>
        <w:rPr>
          <w:b/>
        </w:rPr>
        <w:t>E. 4.1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 In der Beschwerde wird nicht geltend gemacht, der Vollzug der Wegweisung sei unmöglich im Sinne von Art. 83 Abs. 2 AuG. Gegenstand des vorliegenden Beschwerdeverfahrens bildet entsprechend den Rechtsbegehren somit lediglich die Frage, ob die verfügte vorläufige Aufnahme infolge weiterhin bestehender Unzulässig- oder allenfalls Unzumutbarkeit des Wegweisungsvollzugs zu bestätigen oder aufzu-heben ist.</w:t>
      </w:r>
    </w:p>
    <w:p>
      <w:r>
        <w:rPr>
          <w:b/>
        </w:rPr>
        <w:t>E. 4.2.1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Heimatstaat/Herkunftsstaat ist demnach unter dem Aspekt von Art. 5 AsylG rechtmässig. Sodann ergeben sich weder aus den Aussagen des Beschwerdeführers noch aus den Akten Anhaltspunkte dafür, dass er für den Fall einer Ausschaffung in den Heimatstaat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Falle einer Rückschiebung Folter oder unmenschliche Behandlung drohen würde (vgl. EMARK 2001 Nr. 16 S. 122, mit weiteren Hinweisen; EGMR, Bensaid gegen Grossbritannien, Urteil vom 6. Februar 2001, Recueil des arrêts et décisions 2001-I, S. 327 ff.). Die allgemeine Sicherheits- und Menschenrechtslage im kurdischen Nordirak, die im zur Publikation vorgesehenen Urteil des Bundesverwaltungsgerichts BVGE E 6982/2006 vom 22. Januar 2008 Gegenstand einer umfassenden Beurteilung bildet, lässt den Wegwei-sungsvollzug zum heutigen Zeitpunkt nicht als unzulässig erscheinen (a.a.O. E. 6.2 ff. und 6.6).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ist im zur Publikation vorgesehenen Urteil E-4243/2007 vom 14. März 2008 aufgrund einer umfassenden Beurteilung der Situation in den nordirakischen Provinzen Dohuk, Su-leymaniya und Erbil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w:t>
      </w:r>
    </w:p>
    <w:p>
      <w:r>
        <w:rPr>
          <w:b/>
        </w:rPr>
        <w:t>E. 4.3.2</w:t>
      </w:r>
    </w:p>
    <w:p>
      <w:r>
        <w:t>Der Beschwerdeführer stammt aus C._______, wo er eigenen Angaben zufolge bis zu seiner Ausreise gelebt und als Auto-mechaniker in der Industriezone gearbeitet hat. Zudem verfügt er im Irak mit seiner Mutter, seinen Geschwistern sowie weiteren Verwand-ten mütterlicher- und väterlicherseits in C._______ über ein verwandt-schaftliches Beziehungsnetz. Angesichts seines Alters (geb. 1985) und seiner Berufserfahrung ist entgegen den diesbezüglichen Ausführun-gen in der Rechtsmitteleingabe davon auszugehen, er werde sich in seiner Heimat in den Arbeitsmarkt wieder integrieren können, und ihm dabei seine Familie behilflich sein wird. Des Weiteren wird ihm die Rückkehrhilfe der Schweiz den Aufbau einer neuen Existenzgrundla-ge erleichtern. Schliesslich sind keine individuellen Gründe ersichtlich, aufgrund derer allenfalls geschlossen werden könnte, der Beschwer-deführer gerate im Falle der Rückkehr in eine existenzbedrohende Situation, weshalb der Vollzug der Wegweisung - übereinstimmend mit dem BFM - als zumutbar zu bezeichnen ist.</w:t>
      </w:r>
    </w:p>
    <w:p>
      <w:r>
        <w:rPr>
          <w:b/>
        </w:rPr>
        <w:t>E. 4.4</w:t>
      </w:r>
    </w:p>
    <w:p>
      <w:r>
        <w:t>Zusammenfassend ergibt sich, dass das BFM die mit Verfügung vom 3. April 2007 angeordnete vorläufige Aufnahme des Beschwerde-führers zu Recht aufgehoben und den Wegweisungsvollzug verfügt hat. Die anderen Ausführungen in der Beschwerde sind nicht geeignet, an dieser Beurteilung etwas zu ändern, weshalb es sich erübrigt, auf sie einzugehen.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dem Beschwerdeführer aufzuerlegen (Art. 63 Abs. 1 und 5 VwVG). Da die Beschwerde nicht von vornherein aussichtslos ist und sich die Bedürftigkeit aus den Akten ergibt, ist das Gesuch um unentgeltliche Rechtspflege (Art. 65 Abs. 1 VwVG) gutzuheissen und der Beschwerdeführer davon zu befreien, die Verfahrenskosten von Fr. 600.--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