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E-8572/2010 vom 15. Mai 2012</w:t>
      </w:r>
    </w:p>
    <w:p>
      <w:r>
        <w:t>Bundesverwaltungsgericht, 2012-05-15, DE</w:t>
      </w:r>
    </w:p>
    <w:p>
      <w:r>
        <w:rPr>
          <w:b/>
        </w:rPr>
        <w:t xml:space="preserve">Quelle: </w:t>
      </w:r>
      <w:r>
        <w:t>https://mcp.opencaselaw.ch/entscheid/bvger_E-8572_2010</w:t>
      </w:r>
    </w:p>
    <w:p>
      <w:r>
        <w:t>FR: TAF E-8572/2010 du 15 mai 2012</w:t>
      </w:r>
    </w:p>
    <w:p>
      <w:r>
        <w:t>IT: TAF E-8572/2010 del 15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heute mündige Beschwerdeführer war im Zeitpunkt der Einreichung des Asylgesuchs, der Anhörungen und der Einreichung der Beschwerde unmündig. Es ist deshalb vorab dessen Prozessfähigkeit als Sachurteilsvoraussetzung von Amtes wegen zu prüfen. Als verfahrensrechtliches Korrelat der Handlungsfähigkeit wird die Prozessfähigkeit nach den zivilrechtlichen Vorschriften beurteilt (vgl. Entscheidungen und Mitteilungen der vormals zuständigen Asylrekurskommission [ARK, EMARK] 1996 Nr. 3 E. 2b S. 19). Sie setzt demnach die Urteilsfähigkeit und die Mündigkeit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und Art. 108 Abs. 1 AsylG, Art. 48 Abs. 1 sowie Art. 52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rechtfertigt es sich vorliegend, auf einen Schriftenwechsel zu verzichten.</w:t>
      </w:r>
    </w:p>
    <w:p>
      <w:r>
        <w:rPr>
          <w:b/>
        </w:rPr>
        <w:t>E. 3</w:t>
      </w:r>
    </w:p>
    <w:p>
      <w:r>
        <w:t>Die in der Eingabe gestellten Gesuche um Unterlassung der Kontaktaufnahme mit dem Heimatstaat im Zusammenhang mit einer allfälligen Datenweitergabe sowie die Anweisung, bei Abweisung dieser Beschwerde sei die Vorinstanz anzuweisen, dem Beschwerdeführer allenfalls bereits erfolgte Datenweitergabe an den Heimatstaat offenzulegen und ihm im Hinblick auf dadurch allenfalls entstandene subjektive Nachfluchtgründe das rechtliche Gehör zu gewähren, wurden mit Zwischenverfügung vom 22. Dezember 2010 auf einen späteren Zeitpunkt verwiesen. Nachdem den Akten zufolge bisher keine Datenweitergabe an den Heimatstaat des Beschwerdeführers erfolgt sind, sind die erwähnten Gesuche um Offenlegung der Datenweitergabe und um Gewährung des rechtlichen Gehörs als gegenstandslos zu erachten.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in seiner Verfügung vom 9. November 2010 zur Begründung der Verneinung der Flüchtlingseigenschaft des Beschwerdeführers aus, dessen Vorbringen genügten den Anforderungen an die Flüchtlingseigenschaft gemäss Art. 3 AsylG nicht. Obschon es sich bei der BDP um eine legale Partei handle, könne aufgrund der Aktivitäten des Beschwerdeführers, die er als Sympathisant für diese Partei getätigt habe, nicht ausgeschlossen werden, dass er kurzzeitig festgenommen worden sei. Dass er jedoch aufgrund seiner Sympathie zu der Jugendfraktion der BDP, des Lesens von Zeitschriften und Büchern in deren Parteilokal sowie der Teilnahme an Kundgebungen das Interesse der Behörden auf sich gezogen haben wolle, genüge indes nicht, um eine begründete Furcht vor einer zukünftigen asylrelevanten Verfolgung anzunehmen. Seinen Aussagen könne auch nicht entnommen werden, dass er in exponierter Stellung für die BDP tätig gewesen wäre, so dass keine beachtliche Wahrscheinlichkeit bestehe, der Beschwerdeführer werde konkreten Nachteilen ausgesetzt. Dies gelte auch vor dem Hintergrund, dass die DTP (Demokratik Toplum Partisi, Partei der demokratischen Gesellschaft, Anmerkung Bundesverwaltungsgericht) mit Urteil des türkischen Verfassungsgerichts vom im Dezember 2009 verboten worden und die BDP als deren Nachfolgepartei formell legal tätig sei. Ähnlich wie bei den früheren Verboten der Vorgängerparteien DEHAP und HADEP hätten selbst einfache Parteimitglieder lediglich wegen ihrer damals legal gewesenen politischen Betätigungen für die DTP nicht mit einer nachträglichen strafrechtlichen Verfolgung oder mit sonstigen ernsthaften Nachteilen zu rechnen. Ferner sei seinem Einwand, wonach er wegen seiner oppositionell gesinnten Familienangehörigen befürchte, in Mitleidenschaft gezogen zu werden, entgegenzuhalten, dass sich die Situation in der Türkei heute anders präsentiere. So sei es in der Türkei nach dem Militärputsch vom 12. September 1980 bis Ende der 1990er Jahren oft zu Reflexverfolgungsmassnahmen gegenüber Personen von Familienangehörigen gekommen, die von den Behörden als Aktivisten separatistisch oder extremistisch eingestufter Gruppierungen verdächtigt worden seien. Im Hinblick auf die Beitrittsverhandlungen mit der EU habe die Türkei seit dem Jahr 2001 eine Reihe von Reformen beschlossen, die zu einer deutlichen Verbesserung der Menschenrechtslage geführt hätten und die dazu beitragen würden, dass sich die Türkei schrittweise an EU-Standards annähere. Da sich mit der Einführung von zusätzlichen Strafverfahrensgarantien im Juni 2005 insbesondere die Rechtssicherheit verbessert habe und damit die früher verbreitete behördliche Willkür weitgehend verdrängt worden sei, habe heute eine von Übergriffen betroffene Person die Möglichkeit, sich dagegen zur Wehr zu setzen, beispielsweise mit Hilfe eines Anwaltes oder einer Menschenrechtsorganisation. Vorliegend seien keine Hinweise aktenkundig, die erwarten liessen, der Beschwerdeführer könnte wegen seines familiären Umfeldes mit beachtlicher Wahrscheinlichkeit und in absehbarer Zukunft von Reflexverfolgungsmassnahmen ernsthaft betroffen werden. Seinen diesbezüglichen Vorbringen komme somit keine asylrelevante Bedeutung zu. Vor diesem Hintergrund und aufgrund der Tatsache, dass behördliche Nachforschungen gegenüber Familienangehörigen von politisch missliebigen Personen bezüglich ihrer Intensität in der Regel kein asylbeachtliches Ausmass annehmen würden, seien die Befürchtungen des Beschwerdeführers, solchen Verfolgungsmassnahmen ausgesetzt zu sein, als nicht begründet einzustufen. Des Weiteren sei sein Vorbringen, dass er als Angehöriger der kurdischen Bevölkerung von den türkischen Behörden schikaniert und benachteiligt werde, nicht geeignet, um die Flüchtlingseigenschaft zu erfüllen. Es sei allgemein bekannt, dass Angehörige der kurdischen Bevölkerung in der Türkei Schikanen und Benachteiligungen verschiedenster Art ausgesetzt sein könnten. Dabei handle es sich jedoch nicht um ernsthafte Nachteile im asylrechtlichen Sinne, die einen Verbleib im Heimatland verunmöglichen oder unzumutbar erschweren würden. Aus diesem Grunde und gemäss gefestigter Praxis führe die allgemeine Situation, in der sich die kurdische Bevölkerung befinde, für sich allein nicht zur Anerkennung der Flüchtlingseigenschaft. Insgesamt hielten die Vorbringen den Anforderungen an die Flüchtlingseigenschaft nicht stand, so dass darauf verzichtet werden könne, auf allfällige Unglaubhaftigkeitselemente näher einzugehen.</w:t>
      </w:r>
    </w:p>
    <w:p>
      <w:r>
        <w:rPr>
          <w:b/>
        </w:rPr>
        <w:t>E. 5.2</w:t>
      </w:r>
    </w:p>
    <w:p>
      <w:r>
        <w:t>Es mag zwar zutreffen, dass der Beschwerdeführer aufgrund seiner Beteiligungen an verschiedenen Kundgebungen sowie an Anlässen der BDP von der Gendarmerie festgenommen, bedroht und eingeschüchtert worden ist. Dies stellt auch das BFM nicht in Frage. Nachteilen wie kurzzeitigen Festnahmen oder Anhaltungen kommt aber im Allgemeinen keine Asylrelevanz zu. Es spricht sodann gegen ein ernsthaftes und konkretes Verfolgungsinteresse seitens der türkischen Sicherheitskräfte, dass der Beschwerdeführer anlässlich der Protestkundgebung zum Geburtstag von Abdullah Öcelan zufällig erwischt worden (vgl. Akten BFM A11/15 S. 7), er in der Türkei nie im Gefängnis gewesen und gegen den Beschwerdeführer auch kein Strafverfahren eröffnet (vgl. A1/10 S. 6, A11/15 S. 11) und er nicht zuletzt noch am 4. April 2009 nach einer Haftdauer von neun Stunden wieder freigelassen worden sei (vgl. A 11/15 S. 7). Es ist mit dem BFM davon auszugehen, dass der Beschwerdeführer, als ein einfaches Mitglied der BDP (vgl. Beschwerde S. 7/21), politisch in untergeordneter Stellung tätig gewesen ist, weswegen er nicht ins Visier der türkischen Behörden gelangen konnte. Ferner ist seine Behauptung in seiner Eingabe, wonach die türkischen Behörden die Entwicklung der BDP sowie deren Mitglieder und Sympathisanten - gleich wie vor dem Verbot der DTP - mit "Argusaugen" beobachten würden, spekulativer Natur (vgl. zu der Entwicklung der BDP das Urteil des Bundesverwaltungsgerichts E-1298/2012 vom 12. April 2012 E. 3.2.1.) und ändert zudem nichts an der fehlenden konkreten Verfolgungsabsicht der Behörden dem Beschwerdeführer gegenüber. Schliesslich ist zwar nicht gänzlich auszuschliessen, dass der Beschwerdeführer von einzelnen Gendarmen auf seinem am Polizeiposten vorbeiführenden Weg beschimpft worden sein kann. Diese Belästigungen sind jedoch als nicht asylrelevant zu betrachten, zumal es an der Eingriffsintensität fehlt. Daran vermag auch die zu den Akten gereichte Bestätigung der Schulabmeldung vom 20. September 2010 offensichtlich nichts zu ändern. 5.3.1. Weiter macht der Beschwerdeführer eine Reflexverfolgung geltend, da er aus einer politisch oppositionellen Familie stamme, so seien seine (Angaben zu Verwandten) verurteilt worden und (...) befänden sich zwischenzeitlich in F._______ und G._______ (vgl. A11/15 S. 5; A1/10 S. 3). 5.3.2. Zur Reflexverfolgung im Kontext des kurdischen Widerstands in der Türkei ist vorab allgemein festzustellen, dass staatliche Repressalien gegen nahe Verwandte politischer Aktivisten angewendet werden, welche Be­helligungen nach Kenntnis der ARK als so genannte Anschluss- oder Reflexverfolgung durchaus asylrechtlich relevante Intensität annehmen können (vgl. EMARK 1994 Nr. 17 S. 132 ff., Nr. 5 S. 39 ff., EMARK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 Im vorliegenden Fall ist festzustellen, dass der Beschwerdeführer nicht geltend macht, vor seiner Ausreise aus der Türkei in engem Kontakt zu seinen oppositionell tätigen Verwandten gestanden zu haben. So gab er vielmehr explizit an, mit den sich in H._______ aufhaltenden Verwandten, sowie die sich in F._______ aufhaltenden Verwandten, habe er gar nie etwas zu tun gehabt (vgl. A11/15 S. 5 f.). Es ist somit nicht davon auszugehen, der Beschwerdeführer werde wegen ihnen gesucht. Dass er sich offen für seine angeblich politisch aktiven Verwandten eingesetzt hätte, ist den Akten ebenso wenig zu entnehmen. Weiter ist - wie oben dargelegt - auch nicht von einem bedeutenden politischen Engagement des Beschwerdeführers selbst für eine illegale Organisationen auszugehen. Was die BDP anbelangt, welcher der Beschwerdeführer nahegestanden sei, ist sodann darauf hinzuweisen, dass diese Partei als Nachfolgepartei der DTP, welche gemäss Entscheid des türkischen Verfassungsgerichts vom 11. Dezember 2009 verboten wurde, legal ist. Darüber hinaus machte der Beschwerdeführer auch nicht geltend, in der Zeit vor seiner Ausreise aus der Türkei je wegen politisch aktiver Verwandter in den Fokus behördlicher Ermittlungen geraten zu sein, sondern er setzte seine kurzzeitige Festnahme und die Belästigungen in Zusammenhang mit seinen eigenen politischen Aktivitäten, was ebenfalls gegen eine (zukünftige) Reflexverfolgung spricht. Insgesamt gesehen bestehen nach dem Gesagten keine konkreten Anhaltspunkte für die Annahme, der Beschwerdeführer habe eine Reflexverfolgung zu befürchten.</w:t>
      </w:r>
    </w:p>
    <w:p>
      <w:r>
        <w:rPr>
          <w:b/>
        </w:rPr>
        <w:t>E. 5.4</w:t>
      </w:r>
    </w:p>
    <w:p>
      <w:r>
        <w:t>Soweit der Beschwerdeführer in seiner Eingabe Nachteile geltend macht, die er in der Heimatregion aufgrund seiner Zugehörigkeit zur kurdischen Volksgruppe immer wieder erlebt habe, erweisen sich diese - entgegen seinen Behauptungen - schon aufgrund der Intensität solcher Erlebnisse als nicht asylrelevant; gemäss Rechtsprechung der ARK, die auch für das Bundesverwaltungsgericht Geltung behält, sind die Anforderungen an die Feststellung einer Kollektivverfolgung sehr hoch. Dabei wurde in konstanter Praxis der schweizerischen Asylbehörden das Vorliegen einer Kollektivverfolgung von Kurden aus der Türkei verneint (vgl. EMARK 1993 Nr. 20 E. 3.a bestätigt etwa im Urteil des Bundesverwaltungsgerichts D-8360/2007 vom 26. März 2010 E. 4.7).</w:t>
      </w:r>
    </w:p>
    <w:p>
      <w:r>
        <w:rPr>
          <w:b/>
        </w:rPr>
        <w:t>E. 5.5</w:t>
      </w:r>
    </w:p>
    <w:p>
      <w:r>
        <w:t>Bei dieser Sachlage und in Würdigung der gesamten Umstände ist zusammenfassend festzustellen, dass der Beschwerdeführer die Voraussetzungen für die Zuerkennung der Flüchtlingseigenschaft nicht erfüllt. An dieser Einschätzung vermögen die weiteren Ausführungen in der Rechtsmitteleingabe (insbesondere auch zur Glaubhaftigkeit des asylbegründenden Sachverhalts) sowie die eingereichten Dokumente nichts zu ändern und es kann vollumfänglich auf die zutreffenden Erwägungen in der vorinstanzlichen Verfügung verwiesen werden.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Dieser Einschätzung steht auch die gesundheitliche Situation des Beschwerdeführers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auszuschliessen (vgl. BVGE 2009/2 E. 9.1.3).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7.4.2.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 Vorliegend ist der Vollzug der Wegweisung für den nunmehr volljährigen Beschwerdeführer als zumutbar zu erachten, weil keine Hinweise dafür erkennbar sind, er wäre bei einer Rückkehr in die Türkei einer konkreten Gefährdung im genannten Sinne ausgesetzt. Es kann auf eine Auseinandersetzung mit den Ausführungen in der Beschwerde, die sich auf die damalige Minderjährigkeit beziehen, an dieser Stelle verzichtet werden. Das Bundesverwaltungsgericht erachtet den Wegweisungsvollzug in die Türkei gestützt auf die allgemeine Lage als generell zumutbar. Überdies lässt sich eine andere Einschätzung mit Bezug auf die Herkunftsregion des Beschwerdeführers nicht zureichend abstützen. Dort verfügt er über Familienangehörige und weitere Verwandte. Darüber hinaus ist festzuhalten, dass Gründe ausschliesslich medizinischer Natur den Wegweisungsvollzug im Allgemeinen nicht als unzumutbar erscheinen lassen, es sei denn, die erforderliche Behandlung sei wesentlich und im Heimatland nicht erhältlich (vgl. EMARK 2003 Nr. 24 E. 5b S. 157 f.). Vorliegend sind den Akten keine stichhaltigen Anhaltspunkte für das Vorliegen einer medizinischen Notlage im Heimatstaat im Sinne von Art. 83 Abs. 4 AuG zu entnehmen. Wie dem Anhörungsprotokoll entnommen werden kann, wurde der Beschwerdeführer wegen seiner gesundheitlichen Probleme (Alpträume, Schlafstörungen, Angstzustände) medikamentös behandelt (vgl. A11/15 S. 3). Ob und inwieweit zum heutigen Zeitpunkt diese noch bestehen, lässt sich den Akten nicht entnehmen, zumal auf Beschwerdeebene in diesem Zusammenhang nichts mehr geltend gemacht wird und auch nie ein Arztzeugnis eingereicht wurde. Jedenfalls ist davon auszugehen, dass allenfalls heute noch bestehende gesundheitliche Beeinträchtigungen kein der Zumutbarkeit des Wegweisungsvollzugs entgegenstehendes Ausmass erreicht haben. Zudem verfügt der Heimatstaat des Beschwerdeführers nach den Erkenntnissen des Bundesverwaltungsgerichts über ein ausreichendes medizinisches Versorgungsnetz, um allfällige psychische Probleme behandeln zu können. Ferner kann der Beschwerdeführer in der Türkei bei der Reintegration auf die Hilfe seiner dort verbliebenen Familienangehörigen sowie auf die Unterstützung seiner im Ausland lebenden weiteren Verwandten - zumindest in finanzieller Hinsicht - rechnen. Zudem steht es ihm offen, bei Bedarf um Gewährung medizinischer Rückkehrhilfe gemäss Art. 93 Abs. 1 Bst. d AsylG i.V.m. Art. 75 der Asylverordnung 2 vom 11. August 1999 über Finanzierungsfragen [AsylV 2, SR 142.312]) zu ersuchen, worunter auch die Medikamentenabgabe fällt. Insgesamt ist nicht auf eine konkrete Gefährdung in Form einer medizinischen Notlage gemäss Art. 83 Abs. 4 AuG zu schliessen.</w:t>
      </w:r>
    </w:p>
    <w:p>
      <w:r>
        <w:rPr>
          <w:b/>
        </w:rPr>
        <w:t>E. 7.5</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Nachdem die Bedürftigkeit des Beschwerdeführers ausgewiesen ist und zum Zeitpunkt der Beschwerdeerhebung nicht von der Aussichtslosigkeit der Begehren ausgegangen werden konnte,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