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E-852/2017 vom 14. Februar 2017</w:t>
      </w:r>
    </w:p>
    <w:p>
      <w:r>
        <w:t>Bundesverwaltungsgericht, 2017-02-14, DE</w:t>
      </w:r>
    </w:p>
    <w:p>
      <w:r>
        <w:rPr>
          <w:b/>
        </w:rPr>
        <w:t xml:space="preserve">Quelle: </w:t>
      </w:r>
      <w:r>
        <w:t>https://mcp.opencaselaw.ch/entscheid/bvger_E-852_2017</w:t>
      </w:r>
    </w:p>
    <w:p>
      <w:r>
        <w:t>FR: TAF E-852/2017 du 14 février 2017</w:t>
      </w:r>
    </w:p>
    <w:p>
      <w:r>
        <w:t>IT: TAF E-852/2017 del 14 febbraio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(BVGE 2014/26 E. 5.4). Im Zusammenhang mit dem Wegweisungsvollzug kann auch die Unangemessenheit gerügt werden (Art. 37 VGG i.V.m. Art. 49 VwVG; vgl. BVGE 2014/26 E. 5).</w:t>
      </w:r>
    </w:p>
    <w:p>
      <w:r>
        <w:rPr>
          <w:b/>
        </w:rPr>
        <w:t>E. 2.2</w:t>
      </w:r>
    </w:p>
    <w:p>
      <w:r>
        <w:t>Die Beschwerde richtet sich ausschliesslich gegen die Dispositivziffern 4 und 5 (Vollzug der Wegweisung) der vorinstanzlichen Verfügung. Die Ziffer 1 (Verneinung der Flüchtlingseigenschaft), Ziffer 2 (Ablehnung des Asylgesuchs) und Ziffer 3 (verfügte Wegweisung) bleiben unangefochten, womit sie in Rechtskraft erwachsen sind.</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Ist der Vollzug der Wegweisung nicht zulässig, nicht zumutbar oder nicht möglich, so regelt das SEM das Anwesenheitsverhältnis nach den gesetzlichen Bestimmungen über die vorläufige Aufnahme (Art. 44 AsylG; Art. 83 Abs. 1 AuG).</w:t>
      </w:r>
    </w:p>
    <w:p>
      <w:r>
        <w:rPr>
          <w:b/>
        </w:rPr>
        <w:t>E. 3.2</w:t>
      </w:r>
    </w:p>
    <w:p>
      <w:r>
        <w:t>Nach Art. 83 Abs. 3 AuG ist der Vollzug nicht zulässig, wenn völkerrechtliche Verpflichtungen der Schweiz einer Weiterreise der Ausländerin oder des Ausländers in den Heimat-, Herkunfts- oder einen Drittstaat entgegenstehen. Da der Beschwerdeführer die festgestellte fehlende Flüchtlingseigenschaft nicht anficht, diese mithin in Rechtskraft erwachsen ist,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seiner Heimat mit beachtlicher Wahrscheinlichkeit einer nach Art. 3 EMRK oder Art. 1 FoK verbotenen Strafe oder Behandlung ausgesetzt wäre. Der Vollzug der Wegweisung ist zulässig.</w:t>
      </w:r>
    </w:p>
    <w:p>
      <w:r>
        <w:rPr>
          <w:b/>
        </w:rPr>
        <w:t>E. 3.3</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richtig erkannt. Ihre Schlussfolgerungen sind weder in tatsächlicher noch in rechtlicher Hinsicht zu beanstanden. So stellt sie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Flüchtlingswellen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Der Wegweisungsvollzug sei deshalb nach wie vor grundsätzlich zumutbar. Ebenfalls würden keine individuellen Gründe gegen die Zumutbarkeit des Wegweisungsvollzugs sprechen. So verfüge der junge und körperlich gesunde Beschwerdeführer in seiner Heimat Nordirak über ein soziales Beziehungsnetz (Onkel, Tanten und andere Personen, die ihn bereits vor seiner Ausreise unterstützt hätten), habe gearbeitet und die Lebenssituation als nicht schlecht bezeichnet (angefochtene Verfügung S. 4). Die Rechtsmitteleingabe bestätigt selbst, dass der Beschwerdeführer kurdischer Ethnie ist, aus dem Nordirak, Provinz Dohuk stammt und vor seiner Ausreise einige Monate bei seiner Tante in B._______ - eine Stadt in der Nähe seines Heimatdorfs - leben konnte (Beschwerde S. 2). Indes vermag sie der vorinstanzlichen Argumentation nichts entgegenzusetzen. So stellte das Bundesverwaltungsgericht mit Urteil E-3737/2015 vom 14. Dezember 2015 (als Referenzurteil publiziert)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An dieser Sichtweise wird weiterhin festgehalten (vgl. Urteile des BVGer E-6267/2016 vom 2. November 2016, D-3405/2016 vom 14. September 2016, E-3354/2016 vom 23. Juni 2016 und D-6975/2015 vom 16. Juni 2016). Gemäss Praxis des Bundesverwaltungsgerichts ist ein Wegweisungsvollzug in die kurdischen Nordprovinzen unter der Voraussetzung zumutbar, dass die betreffende Person ursprünglich aus der Region stammt oder eine längere Zeit dort gelebt hat und über ein soziales Netz verfügt. (BVGE 2008/5 E. 7.5.8). Auch dies ist vorliegend gegeben (hierzu z. B. SEM-Akten, A15, F33, F40 ff., insb. F40 f. und F46). In Übereinstimmung mit den vorinstanzlichen Erwägungen ist vorliegend von der Zumutbarkeit des Wegweisungsvollzugs in die Region Dohuk auszugehen. Genauer ist diese nicht zu bezeichnen, zumal es dem Beschwerdeführer offensteht, seinen Lebensmittelpunkt in dieser Region frei zu wählen. Um Wiederholungen zu vermeiden, ist auf die zutreffenden Ausführungen der Vorinstanz zu verweisen, die zu Recht von der Zumutbarkeit des Wegweisungsvollzugs des jungen und gesunden Beschwerdeführers ausgegangen ist.</w:t>
      </w:r>
    </w:p>
    <w:p>
      <w:r>
        <w:rPr>
          <w:b/>
        </w:rPr>
        <w:t>E. 3.4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3.5</w:t>
      </w:r>
    </w:p>
    <w:p>
      <w:r>
        <w:t>Die Vorinstanz hat den Vollzug demnach zu Recht als zulässig, zumutbar und möglich erachtet. Damit fällt die Anordnung einer vorläufigen Aufnahme ausser Betracht (Art. 83 Abs. 1-4 AuG).</w:t>
      </w:r>
    </w:p>
    <w:p>
      <w:r>
        <w:rPr>
          <w:b/>
        </w:rPr>
        <w:t>E. 4</w:t>
      </w:r>
    </w:p>
    <w:p>
      <w:r>
        <w:t>Aus diesen Erwägungen ergibt sich, dass die vorinstanzliche Verfügung Bundesrecht nicht verletzt und auch sonst nicht zu beanstanden ist (Art. 106 AsylG). Die Beschwerde ist abzuweisen.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