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E-8522/2025 vom 25. November 2025</w:t>
      </w:r>
    </w:p>
    <w:p>
      <w:r>
        <w:t>Bundesverwaltungsgericht, 2025-11-25, DE</w:t>
      </w:r>
    </w:p>
    <w:p>
      <w:r>
        <w:rPr>
          <w:b/>
        </w:rPr>
        <w:t xml:space="preserve">Quelle: </w:t>
      </w:r>
      <w:r>
        <w:t>https://mcp.opencaselaw.ch/entscheid/bvger_E-8522_2025</w:t>
      </w:r>
    </w:p>
    <w:p>
      <w:r>
        <w:t>FR: TAF E-8522/2025 du 25 novembre 2025</w:t>
      </w:r>
    </w:p>
    <w:p>
      <w:r>
        <w:t>IT: TAF E-8522/2025 del 25 novembre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w:t>
      </w:r>
    </w:p>
    <w:p>
      <w:r>
        <w:t>E-8522/2025 Seite 4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Die Vorinstanz gelangte in der angefochtenen Verfügung zum Schluss, die Vorbringen der Beschwerdeführerin würden den Anforderungen an die</w:t>
      </w:r>
    </w:p>
    <w:p>
      <w:r>
        <w:t>E-8522/2025 Seite 5 Flüchtlingseigenschaft gemäss Art. 3 AsylG nicht standhalten. Sie führte im Wesentlichen aus, das politische Profil der Beschwerdeführerin sei sehr niederschwellig und den geschilderten telefonischen Drohungen, der De- pression sowie dem Unfall im November 2024 fehle es – ungeachtet der Täterschaft – an der flüchtlingsrelevanten Intensität. Die ungefähr 30 An- rufe seien ohne ersichtliche Folgen geblieben und für einen Zusammen- hang mit dem Unfall im November 2024 lägen keine konkreten Anhalts- punkte vor. Nachdem ihr Vater aufgrund des Unfalles Strafanzeige erstattet habe, habe sie zudem, abgesehen von Drohanrufen, auch keine konkreten Nachteile mehr erlitten. Die Einschätzung der fehlenden flüchtlingsrechtlich relevanten Intensität werde ferner dadurch gestützt, dass die Beschwerde- führerin nach dem Unfall, im Dezember 2024 mit ihrem Vater nach D._______ gereist, wieder nach Kamerun zurückgekehrt und erst knapp ein Jahr später im September 2025 geflüchtet sei. Schliesslich liege auch keine objektiv begründete Furcht vor zukünftiger Verfolgung aufgrund der Tätigkeiten ihres Vaters vor, zumal dieser ohne weitere Probleme zu erlei- den in Kamerun lebe und nicht ersichtlich sei, weshalb sich die Probleme gegenüber der Beschwerdeführerin intensivieren sollten. Es handle sich daher um eine rein hypothetische zukünftige Verfolgung.</w:t>
      </w:r>
    </w:p>
    <w:p>
      <w:r>
        <w:rPr>
          <w:b/>
        </w:rPr>
        <w:t>E. 5.2</w:t>
      </w:r>
    </w:p>
    <w:p>
      <w:r>
        <w:t>Die Beschwerdeführerin wiederholt in der Rechtsmitteleingabe im We- sentlichen die Vorbringen aus dem erstinstanzlichen Asylverfahren und be- tont dabei, dass die Regierung Oppositionelle und Kritiker unter Druck setze, indem sie gegen deren nahestehende Personen vorgehe. Im vorlie- genden Fall sei unbestritten, dass es sich bei ihrem Vater um einen be- kannten Journalisten handle. Die kamerunischen Behörden könnten je- doch nicht gegen ihn direkt vorgehen, weil dies einen Skandal auslösen würde, weshalb man gegen ihm Nahestehende vorgehe. In diesem Zusam- menhang müsse man die an sie gerichteten Drohungen beurteilen. Aus- serdem habe sie zwischenzeitlich den Kontakt zu ihrem Vater und ihrer Stiefmutter verloren.</w:t>
      </w:r>
    </w:p>
    <w:p>
      <w:r>
        <w:rPr>
          <w:b/>
        </w:rPr>
        <w:t>E. 5.3</w:t>
      </w:r>
    </w:p>
    <w:p>
      <w:r>
        <w:t>Die von der Beschwerdeführerin geschilderten Behelligungen (Drohun- gen durch verschiedene Unbekannte und einmaliger durch Unbekannte provozierter Unfall) weisen (ungeachtet der Täter- bzw. Urheberschaft und eines allfälligen Zusammenhangs zur beruflichen Tätigkeit des Vaters) die für die Anerkennung der Flüchtlingseigenschaft erforderliche Intensität von Verfolgungshandlungen nicht auf. Die erlittenen (oder drohenden) Nach- teile können nicht als ernsthaft im Sinne von Art. 3 Abs. 2 AsylG bezeichnet werden. Für die Annahme eines unerträglichen psychischen Drucks müss- ten diese sodann eine Intensität aufweisen, die ein menschenwürdiges</w:t>
      </w:r>
    </w:p>
    <w:p>
      <w:r>
        <w:t>E-8522/2025 Seite 6 Leben im Heimatstaat nicht mehr möglich erscheinen liessen, so dass die Beschwerdeführerin sich in einer Zwangslage befinden würde, welcher sie sich nur durch eine Flucht ins Ausland entziehen könnte (vgl. BVGE 2010/28 E. 3.3.1.1; Entscheidungen und Mitteilung der vormaligen Schwei- zerischen Asylrekurskommission [EMARK] 2005 Nr. 21 E. 10.3.1; EMARK 2000 Nr. 17 E. 11b; EMARK 1996 Nr. 30 E. 4d.). Von einer solchen Zwangslage ist vorliegend angesichts der geringen Intensität der bisher er- littenen Behelligungen nicht auszugehen. Auch scheint im Falle einer Rückkehr der Beschwerdeführerin die Gefahr von Verfolgungshandlungen objektiv nicht wahrscheinlich, zumal der Vater der Beschwerdeführerin nach seinem Aufenthalt in der Schweiz wieder in den Heimatstaat zurück- gekehrt ist und dort offenbar nahezu unbehelligt lebt (vgl. SEM-Akte […]-19 F94). Soweit auf Beschwerdeebene ausgeführt wird, die Beschwerdeführerin könne aktuell weder ihren Vater noch die Stiefmutter erreichen (Beschwerde S. 7), allenfalls sei dieser verhaftet wor- den oder geflohen, ist dieses Vorbringen nicht substanziiert worden und als nachgeschoben zu erachten.</w:t>
      </w:r>
    </w:p>
    <w:p>
      <w:r>
        <w:rPr>
          <w:b/>
        </w:rPr>
        <w:t>E. 5.4</w:t>
      </w:r>
    </w:p>
    <w:p>
      <w:r>
        <w:t>Ferner vermögen auch die weiteren Beschwerdeausführungen, welche in allgemeiner Weise auf ein Vorgehen der kamerunischen Regierung ge- gen Nahestehende von Oppositionellen hinweisen, den vorinstanzlichen Erwägungen nichts entgegenzusetzen, lassen sie doch im vorliegenden Fall keine hinreichenden Anhaltspunkte für eine konkrete Bedrohung der Beschwerdeführerin (bspw. durch den staatlichen Geheimdienst) erken- nen.</w:t>
      </w:r>
    </w:p>
    <w:p>
      <w:r>
        <w:rPr>
          <w:b/>
        </w:rPr>
        <w:t>E. 5.5</w:t>
      </w:r>
    </w:p>
    <w:p>
      <w:r>
        <w:t>Die Vorinstanz ist in der angefochtenen Verfügung somit mit überzeu- gender Begründung zum Schluss gelangt, dass die Vorbringen der Be- schwerdeführerin den Anforderungen von Art. 3 AsylG an die Flüchtlings- eigenschaft nicht standhalten. Auf Beschwerdeebene wird nichts vorge- bracht, was an der vorinstanzlichen Würdigung etwas zu ändern vermag. Daher kann im Weiteren vollumfänglich auf die zutreffenden Ausführungen der Vorinstanz verwiesen werden (zusammenfassend wiedergegeben in E. 5.1; vgl. Verfügung des SEM vom 27. Oktober 2025 Ziff. II).</w:t>
      </w:r>
    </w:p>
    <w:p>
      <w:r>
        <w:rPr>
          <w:b/>
        </w:rPr>
        <w:t>E. 5.6</w:t>
      </w:r>
    </w:p>
    <w:p>
      <w:r>
        <w:t>Die Flüchtlingseigenschaft der Beschwerdeführerin ist daher zu vernei- nen. Die Vorinstanz hat das Asylgesuch zu Recht abgelehnt.</w:t>
      </w:r>
    </w:p>
    <w:p>
      <w:r>
        <w:rPr>
          <w:b/>
        </w:rPr>
        <w:t>E. 6</w:t>
      </w:r>
    </w:p>
    <w:p>
      <w:r>
        <w:t>Die Beschwerdeführerin verfügt insbesondere weder über eine ausländer- rechtliche Aufenthaltsbewilligung noch über einen Anspruch auf Erteilung</w:t>
      </w:r>
    </w:p>
    <w:p>
      <w:r>
        <w:t>E-8522/2025 Seite 7 einer solchen. Die Wegweisung wurde demnach ebenfalls zu Recht ange- ordnet (vgl. Art. 44 AsylG;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Vorliegend werden mit dem Wegweisungsvollzug keine völkerrechtli- chen Verpflichtungen verletzt (Art. 83 Abs. 3 AIG). Hinweise dafür, dass die Beschwerdeführerin nach ihrer Rückkehr im Heimatstaat Folter oder eine unmenschliche oder erniedrigende Strafe oder Behandlung drohen, sind keine ersichtlich (vgl. Art. 25 Abs. 3 BV, Art. 3 des Übereinkommens vom</w:t>
      </w:r>
    </w:p>
    <w:p>
      <w:r>
        <w:rPr>
          <w:b/>
        </w:rPr>
        <w:t>E. 7.3</w:t>
      </w:r>
    </w:p>
    <w:p>
      <w:r>
        <w:t>Trotz politischer und interethnischer Spannungen herrscht in Kamerun keine Situation von Krieg, Bürgerkrieg oder allgemeiner Gewalt, die sich über das ganze kamerunische Staatsgebiet erstrecken würde (vgl. statt vieler Urteil des BVGer E-2785/2025 vom 15. August 2025 E. 9.3.1 m.H.). Auch sprechen vorliegend keine individuellen Gründe gegen den Wegwei- sungsvollzug. Die aus C._______ stammende Beschwerdeführerin ist jung, leidet unter keinen erheblichen medizinischen Beschwerden und ver- fügt über eine sehr gute Schulbildung und teilweise Arbeitserfahrung. Vor ihrer Ausreise hatte sie eigenen Angaben gemäss ein Arbeitsangebot in einer (…). Es ist ihr zuzumuten, sich im Heimatstaat wirtschaftlich zu integ- rieren. Zudem kann die Beschwerdeführerin in Kamerun auf ein grosses familiäres Netz zurückgreifen, das sie nach ihrer Rückkehr im Bedarfsfall unterstützen kann. Auch der geltend gemachte zwischenzeitliche Kontakt- verlust zu ihrem Vater und ihrer Stiefmutter ändert nichts an der Einschät- zung, zumal die Beschwerdeführerin gemäss eigenen Angaben über wei- tere Familienangehörige in Kamerun verfügt und sie – wie bereits</w:t>
      </w:r>
    </w:p>
    <w:p>
      <w:r>
        <w:t>E-8522/2025 Seite 8 festgehalten – auch nicht substantiiert darlegt, weshalb der telefonische Kontakt zum Vater und der Stiefmutter abgebrochen ist.</w:t>
      </w:r>
    </w:p>
    <w:p>
      <w:r>
        <w:rPr>
          <w:b/>
        </w:rPr>
        <w:t>E. 7.4</w:t>
      </w:r>
    </w:p>
    <w:p>
      <w:r>
        <w:t>Der Vollzug der Wegweisung ist demnach sowohl im Sinne der asyl- als auch der völkerrechtlichen Bestimmungen zulässig und zumutbar. Dar- über hinaus ist er auch als möglich anzusehen, da es der Beschwerdefüh- rerin obliegt, sich bei der zuständigen Vertretung des Heimatstaates die für eine Rückkehr notwendigen Reisedokumente zu beschaffen (vgl. Art. 47 Abs. 1 AsylG und BVGE 2008/34 E. 12). Eine Anordnung der vorläufigen Aufnahme fällt somit ausser Betracht (Art. 83 Abs. 1–4 AIG). 8. Im Ergebnis verletzt die angefochtene Verfügung Bundesrecht nicht, stellt den rechtserheblichen Sachverhalt richtig sowie vollständig fest und ist – soweit diesbezüglich überprüfbar – angemessen. Für eine Rückweisung der Sache an die Vorinstanz im Sinne des Subeventualbegehrens besteht kein Anlass. Die Beschwerde ist abzuweisen. 9. 9.1 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 9.2 Bei diesem Ausgang des Verfahrens sind die Kosten der Beschwerde- führerin aufzuerlegen (Art. 63 Abs. 1 VwVG) und auf insgesamt Fr. 1'000.– festzusetzen (Art. 1–3 des Reglements vom 21. Februar 2008 über die Kosten und Entschädigungen vor dem Bundesverwaltungsgericht [VGKE, SR 173.320.2]).</w:t>
      </w:r>
    </w:p>
    <w:p>
      <w:r>
        <w:t>(Dispositiv nächste Seite)</w:t>
      </w:r>
    </w:p>
    <w:p>
      <w:r>
        <w:t>E-8522/2025 Seite 9</w:t>
      </w:r>
    </w:p>
    <w:p>
      <w:r>
        <w:rPr>
          <w:b/>
        </w:rPr>
        <w:t>E. 8</w:t>
      </w:r>
    </w:p>
    <w:p>
      <w:r>
        <w:t>Im Ergebnis verletzt die angefochtene Verfügung Bundesrecht nicht, stellt den rechtserheblichen Sachverhalt richtig sowie vollständig fest und ist - soweit diesbezüglich überprüfbar - angemessen. Für eine Rückweisung der Sache an die Vorinstanz im Sinne des Subeventualbegehrens besteht kein Anlass.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Entscheid in der Sache gegenstandslos.</w:t>
      </w:r>
    </w:p>
    <w:p>
      <w:r>
        <w:rPr>
          <w:b/>
        </w:rPr>
        <w:t>E. 9.2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