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E-850/2025 vom 6. März 2025</w:t>
      </w:r>
    </w:p>
    <w:p>
      <w:r>
        <w:t>Bundesverwaltungsgericht, 2025-03-06, DE</w:t>
      </w:r>
    </w:p>
    <w:p>
      <w:r>
        <w:rPr>
          <w:b/>
        </w:rPr>
        <w:t xml:space="preserve">Quelle: </w:t>
      </w:r>
      <w:r>
        <w:t>https://mcp.opencaselaw.ch/entscheid/bvger_E-850_2025</w:t>
      </w:r>
    </w:p>
    <w:p>
      <w:r>
        <w:t>FR: TAF E-850/2025 du 6 mars 2025</w:t>
      </w:r>
    </w:p>
    <w:p>
      <w:r>
        <w:t>IT: TAF E-850/2025 del 6 marzo 2025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Revisionsgesuch wird abgewiesen.</w:t>
      </w:r>
    </w:p>
    <w:p>
      <w:r>
        <w:rPr>
          <w:b/>
        </w:rPr>
        <w:t>E. 2</w:t>
      </w:r>
    </w:p>
    <w:p>
      <w:r>
        <w:t>Die Verfahrenskosten von Fr. 2000.- werden dem Gesuchsteller auferlegt. Der in dieser Höhe einbezahlte Kostenvorschuss wird zur Bezahlung der Kosten verwendet.</w:t>
      </w:r>
    </w:p>
    <w:p>
      <w:r>
        <w:rPr>
          <w:b/>
        </w:rPr>
        <w:t>E. 3</w:t>
      </w:r>
    </w:p>
    <w:p>
      <w:r>
        <w:t>Dieses Urteil geht an den Gesuchsteller, das SEM und die kantonale Migrationsbehörde. Der vorsitzende Richter: Die Gerichtsschreiberin: Markus König Karin Parpan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