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E-850/2022 vom 28. Februar 2022</w:t>
      </w:r>
    </w:p>
    <w:p>
      <w:r>
        <w:t>Bundesverwaltungsgericht, 2022-02-28, DE</w:t>
      </w:r>
    </w:p>
    <w:p>
      <w:r>
        <w:rPr>
          <w:b/>
        </w:rPr>
        <w:t xml:space="preserve">Quelle: </w:t>
      </w:r>
      <w:r>
        <w:t>https://mcp.opencaselaw.ch/entscheid/bvger_E-850_2022</w:t>
      </w:r>
    </w:p>
    <w:p>
      <w:r>
        <w:t>FR: TAF E-850/2022 du 28 février 2022</w:t>
      </w:r>
    </w:p>
    <w:p>
      <w:r>
        <w:t>IT: TAF E-850/2022 del 28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E-850/2022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einem entsprechenden Eintrag in der «Eurodac»-Datenbank ist zu schliessen, dass der Beschwerdeführer nach seiner illegalen Einreise in das Dublin-Gebiet am 12. November 2021 in Bulgarien ein erstes Asylge- such gestellt hat. Gemäss seinen eigenen Angaben hat er – ohne den Ent- scheid der Asylbehörden abzuwarten – das Land verlassen und sich nach- einander in verschiedene Dublin-Staaten begeben. Die bulgarischen Be- hörden stimmten dem Übernahmeersuchen der Vorinstanz innert der in Art. 25 Abs. 1 Dublin-III-VO festgelegten Frist zu. Die Zuständigkeit Bulga- riens gestützt auf Art. 18 Abs. 1 Bst b Dublin-III-VO ist somit grundsätzlich gegeben. Das Vorbringen des Beschwerdeführers im Dublin-Gespräch, er habe in Bulgarien kein Asylgesuch stellen wollen beziehungsweise der Ein-</w:t>
      </w:r>
    </w:p>
    <w:p>
      <w:r>
        <w:t>E-850/2022 Seite 5 wand auf Beschwerdeebene, er habe in Bulgarien kein Asylgesuch einge- reicht, vermag daran nichts zu ändern. Die Dublin-III-VO räumt den Schutz- suchenden nämlich kein Recht ein, den ihren Antrag prüfenden Staat sel- ber auszuwählen (vgl. auch BVGE 2010/45 E. 8.3).</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4.1</w:t>
      </w:r>
    </w:p>
    <w:p>
      <w:r>
        <w:t>Gegen seine Überstellung nach Bulgarien bringt der Beschwerdeführer in seiner Rechtsmitteleingabe vor, die Lebensumstände in Bulgarien seien schlecht gewesen. Da sein Onkel in der Schweiz lebe, sei er hierhin ge- kommen, wo er sich eine Zukunft aufbauen möchte.</w:t>
      </w:r>
    </w:p>
    <w:p>
      <w:r>
        <w:rPr>
          <w:b/>
        </w:rPr>
        <w:t>E. 4.2</w:t>
      </w:r>
    </w:p>
    <w:p>
      <w:r>
        <w:t>Das Bundesverwaltungsgericht hat sich im Referenzurteil F-7195/2018 vom 11. Februar 2020 ausführlich mit dem bulgarischen Asylsystem und der Situation asylsuchender Personen in Bulgarien auseinandergesetzt. Es</w:t>
      </w:r>
    </w:p>
    <w:p>
      <w:r>
        <w:t>E-850/2022 Seite 6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4.3</w:t>
      </w:r>
    </w:p>
    <w:p>
      <w:r>
        <w:t>Folglich ist eine Übernahme der Zuständigkeit der Behandlung des Asylgesuchs durch die Schweiz in Anwendung von Art. 3 Abs. 2 Dublin-III- VO nicht angezeigt.</w:t>
      </w:r>
    </w:p>
    <w:p>
      <w:r>
        <w:rPr>
          <w:b/>
        </w:rPr>
        <w:t>E. 5.1</w:t>
      </w:r>
    </w:p>
    <w:p>
      <w:r>
        <w:t>Es bleibt zu prüfen, ob die Vorinstanz trotz der grundsätzlichen Zustän- digkeit Bulgariens das Selbsteintrittsrecht nach Art. 17 Abs. 1 erster Satz Dublin-III-VO, konkretisiert in Art. 29a Abs. 3 AsylG 1, hätte ausüben müs- sen.</w:t>
      </w:r>
    </w:p>
    <w:p>
      <w:r>
        <w:rPr>
          <w:b/>
        </w:rPr>
        <w:t>E. 5.2</w:t>
      </w:r>
    </w:p>
    <w:p>
      <w:r>
        <w:t>Bulgarien ist Signatarstaat der EMRK (SR 0.101),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Das Gericht geht in ständiger Rechtsprechung da- von aus, dass der bulgarische Staat seinen diesbezüglichen völkerrechtli- chen Verpflichtungen nachkommt. Auch ist anzunehmen, dieser Staat an- 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E-850/2022 Seite 7</w:t>
      </w:r>
    </w:p>
    <w:p>
      <w:r>
        <w:rPr>
          <w:b/>
        </w:rPr>
        <w:t>E. 5.3</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5.3.1</w:t>
      </w:r>
    </w:p>
    <w:p>
      <w:r>
        <w:t>Angesichts der anerkannterweise teils schwierigen Bedingungen in Bulgarien, kann nicht gänzlich ausgeschlossen werden, dass der Be- schwerdeführer dort bei seiner Ankunft auf schwierige Umstände traf, auch wenn seine Vorbringen pauschal sind. Er hat sich allerdings nur relativ kurze Zeit in Bulgarien aufgehalten und wird nach einer Rücküberstellung nicht als Neuankömmling behandelt, sondern in ein hängiges Asylverfah- ren und die entsprechenden Asylstrukturen integriert werden, wo er alle ihm zustehenden Rechte wahrnehmen kann. Gegebenenfalls wird er sich an die zuständigen bulgarischen Behörden zu wenden und die ihm zu- stehenden Aufnahmebedingungen auf dem Rechtsweg einzufordern ha- ben (vgl. Art. 26 Aufnahmerichtlinie). Es sind keine Anhaltspunkte dafür er- sichtlich, dass ihm dies nicht möglich sein sollte.</w:t>
      </w:r>
    </w:p>
    <w:p>
      <w:r>
        <w:rPr>
          <w:b/>
        </w:rPr>
        <w:t>E. 5.3.2</w:t>
      </w:r>
    </w:p>
    <w:p>
      <w:r>
        <w:t>Was die vom Beschwerdeführer im vorinstanzlichen Verfahren gel- tend gemachten Probleme mit den bulgarischen Behörden und Mitarbei- tern der «Securitas» betrifft, kann auch nicht ganz ausgeschlossen werden, dass der Beschwerdeführer dort bei seiner Ankunft Übergriffe erlebt hat. Seine diesbezüglichen Vorbringen sind allerdings ebenfalls pauschal ge- blieben und werden auf Beschwerdeebene nicht mehr eingebracht. Auch in diesem Zusammenhang ist sodann darauf hinzuweisen, dass sich der Beschwerdeführer nach seiner Überstellung in einem Asylverfahren befin- den wird. Sodann hat die Vorinstanz in der angefochtenen Verfügung zu Recht festgestellt, dass Bulgarien als Rechtsstaat mit einem funktionieren- den Justizsystem einzustufen ist. Folglich ist von der grundsätzlichen Schutzwilligkeit und Schutzfähigkeit dieses Staates auszugehen. Bei Über- griffen durch Drittpersonen, aber auch bei einer ungerechten Behandlung durch eine Behörde, steht es dem Beschwerdeführer somit offen, seinen Schutz rechtlich einzufordern. Sollte letzteres zutreffen, hat er ferner die Möglichkeit, sich an die nächsthöhere Stelle zu wenden.</w:t>
      </w:r>
    </w:p>
    <w:p>
      <w:r>
        <w:rPr>
          <w:b/>
        </w:rPr>
        <w:t>E. 5.3.3</w:t>
      </w:r>
    </w:p>
    <w:p>
      <w:r>
        <w:t>Der Beschwerdeführer leidet aktenkundig an nur leichten gesundheit- lichen Beschwerden wie Bauchschmerzen, Juckreiz und Angst (vgl. SEM act. 15 und 16). Damit liegen offenkundig keine gesundheitlichen Gründe für einen zwingenden Selbsteintritt der Schweiz vor, weil für den Fall einer Überstellung nach Bulgarien ein Verstoss gegen Garantien von Art. 3</w:t>
      </w:r>
    </w:p>
    <w:p>
      <w:r>
        <w:t>E-850/2022 Seite 8 EMRK drohen würde. Ausserdem gibt es keinen Anlass anzunehmen, dass seine gesundheitlichen Beschwerden nötigenfalls nicht auch in Bulgarien adäquat behandelt werden könnten.</w:t>
      </w:r>
    </w:p>
    <w:p>
      <w:r>
        <w:rPr>
          <w:b/>
        </w:rPr>
        <w:t>E. 6</w:t>
      </w:r>
    </w:p>
    <w:p>
      <w:r>
        <w:t>Der Beschwerdeführer kann sich sodann nicht auf das Vorliegen eines Ab- hängigkeitsverhältnisses zu seinem in der Schweiz lebenden Cousins (SEM-act. 11) beziehungsweise seinem Onkel (Beschwerdeschrift S. 3) gemäss Art. 16 Dublin-III-VO berufen. Das Abhängigkeitsverhältnis kann nur zwischen dem Antragsteller und seinen Kindern, Geschwistern oder Elternteilen begründet werden und setzt eine bereits im Herkunftsland be- standene familiäre Bindung voraus (Art. 16 Abs. 1 Dublin-III-VO). Diese Voraussetzungen sind nicht erfüllt.</w:t>
      </w:r>
    </w:p>
    <w:p>
      <w:r>
        <w:rPr>
          <w:b/>
        </w:rPr>
        <w:t>E. 7</w:t>
      </w:r>
    </w:p>
    <w:p>
      <w:r>
        <w:t>Schliesslich ist auch nicht ersichtlich, dass das SEM die spezifischen Um- stände des Einzelfalls nicht genügend berücksichtigt hätte. Ein Ermes- sensmissbrauch liegt nicht vor.</w:t>
      </w:r>
    </w:p>
    <w:p>
      <w:r>
        <w:rPr>
          <w:b/>
        </w:rPr>
        <w:t>E. 8</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rPr>
          <w:b/>
        </w:rPr>
        <w:t>E. 9</w:t>
      </w:r>
    </w:p>
    <w:p>
      <w:r>
        <w:t>Mit dem vorliegenden Urteil fällt der am 23. Februar 2022 angeordnete Vollzugsstopp dahin und die Gesuche um Erteilung der aufschiebenden Wirkung der Beschwerde sowie um Verzicht auf die Erhebung eines Kos- tenvorschusses sind gegenstandslos geworden.</w:t>
      </w:r>
    </w:p>
    <w:p>
      <w:r>
        <w:rPr>
          <w:b/>
        </w:rPr>
        <w:t>E. 10</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E-850/2022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