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E-84/2024 vom 22. Juli 2024</w:t>
      </w:r>
    </w:p>
    <w:p>
      <w:r>
        <w:t>Bundesverwaltungsgericht, 2024-07-22, DE</w:t>
      </w:r>
    </w:p>
    <w:p>
      <w:r>
        <w:rPr>
          <w:b/>
        </w:rPr>
        <w:t xml:space="preserve">Quelle: </w:t>
      </w:r>
      <w:r>
        <w:t>https://mcp.opencaselaw.ch/entscheid/bvger_E-84_2024</w:t>
      </w:r>
    </w:p>
    <w:p>
      <w:r>
        <w:t>FR: TAF E-84/2024 du 22 juillet 2024</w:t>
      </w:r>
    </w:p>
    <w:p>
      <w:r>
        <w:t>IT: TAF E-84/2024 del 22 luglio 2024</w:t>
      </w:r>
    </w:p>
    <w:p>
      <w:pPr>
        <w:pStyle w:val="Heading2"/>
      </w:pPr>
      <w:r>
        <w:t>Regeste</w:t>
      </w:r>
    </w:p>
    <w:p>
      <w:r>
        <w:t>Asyl und Wegweisung</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rPr>
          <w:b/>
        </w:rPr>
        <w:t>E. 1.2</w:t>
      </w:r>
    </w:p>
    <w:p>
      <w:r>
        <w:t>Die Beschwerde ist frist- und formgerecht eingereicht worden. Der Be- schwerdeführer ist zur Einreichung der Beschwerde legitimiert (Art. 105 und Art. 108 Abs. 1 AsylG; Art. 48 Abs. 1 und Art. 52 Abs. 1 VwVG). Auf die Beschwerde ist einzutreten.</w:t>
      </w:r>
    </w:p>
    <w:p>
      <w:r>
        <w:rPr>
          <w:b/>
        </w:rPr>
        <w:t>E. 1.3</w:t>
      </w:r>
    </w:p>
    <w:p>
      <w:r>
        <w:t>Das Verfahren richtet sich nach dem VwVG, dem VGG und dem BGG soweit das AsylG nichts anderes bestimmt (Art. 37 VGG und Art. 6 AsylG).</w:t>
      </w:r>
    </w:p>
    <w:p>
      <w:r>
        <w:rPr>
          <w:b/>
        </w:rPr>
        <w:t>E. 2</w:t>
      </w:r>
    </w:p>
    <w:p>
      <w:r>
        <w:t>Mit Beschwerde kann die Verletzung von Bundesrecht, die unrichtige oder unvollständige Feststellung des rechtserheblichen Sachverhalts und die Unangemessenheit gerügt werden (Art. 106 Abs. 1 AsylG). Das Bundes- verwaltungsgericht kann den angefochtenen Entscheid jedoch ungeachtet der erhobenen Rügen grundsätzlich in vollem Umfang überprüfen. Es stellt den Sachverhalt von Amtes wegen fest (Art. 12 VwVG) und wendet das Recht von Amtes wegen an (Art. 62 Abs. 4 VwVG). Es ist mithin nicht an</w:t>
      </w:r>
    </w:p>
    <w:p>
      <w:r>
        <w:t>E-84/2024 Seite 5 die Begründung der Begehren gebunden und kann den Entscheid auch aus anderen Gründen gutheissen oder abweisen.</w:t>
      </w:r>
    </w:p>
    <w:p>
      <w:r>
        <w:rPr>
          <w:b/>
        </w:rPr>
        <w:t>E. 3</w:t>
      </w:r>
    </w:p>
    <w:p>
      <w:r>
        <w:t>Über offensichtlich begründete Beschwerden wird in einzelrichterlicher Zu- ständigkeit mit Zustimmung eines zweiten Richters beziehungsweise einer zweiten Richterin entschieden (Art. 111 Bst. e AsylG). Wie nachstehend aufgezeigt wird, handelt es sich um ein solches Rechtsmittel, weshalb das Urteil nur summarisch zu begründen ist (Art. 111a Abs.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Gemäss Art. 12 VwVG stellt die Behörde den Sachverhalt von Amtes wegen fest und bedient sich nötigenfalls der unter dieser Norm aufgeliste- ten Beweismittel. Als Verfahrensmaxime besagt der Untersuchungsgrund- satz, dass die Verwaltungsbehörden für die Beschaffung des die Urteils- grundlage bildenden Tatsachenmaterials zuständig sind. Er auferlegt der Behörde die Pflicht, von Amtes wegen den rechtserheblichen Sachver- halt vollständig und richtig zu ermitteln und beinhaltet gewissermassen eine Art «behördliche Beweisführungspflicht» (vgl. KRAUSKOPF/EMMENE- GER/BABEY, in: Waldmann/Weissenberger [Hrsg.], Praxiskommentar VwVG, 2023, Art. 12 N. 16). Der Untersuchungsgrundsatz findet seine Grenze an der gesetzlichen Mitwirkungspflicht der Parteien (Art. 13 VwVG)</w:t>
      </w:r>
    </w:p>
    <w:p>
      <w:r>
        <w:t>E-84/2024 Seite 6 sowie im Asylverfahren durch die besondere Mitwirkungspflicht einer asyl- suchenden Person (Art. 8 AsylG). Die unrichtige oder unvollständige Fest- stellung des rechtserheblichen Sachverhalts in Verletzung der Untersu- chungspflicht bildet einen Beschwerdegrund (Art. 49 Bst. b VwVG). Unrich- tig ist die Sachverhaltsfeststellung, wenn der Verfügung ein falscher und aktenwidriger Sachverhalt zugrunde gelegt wird; unvollständig ist sie, wenn nicht alle für den Entscheid rechtswesentlichen Sachumstände berücksich- tigt werden (vgl. KÖLZ/HÄNER/BERTSCHI, Verwaltungsverfahren und Ver- waltungsrechtspflege des Bundes, 3. Aufl. 2013, N. 1043).</w:t>
      </w:r>
    </w:p>
    <w:p>
      <w:r>
        <w:rPr>
          <w:b/>
        </w:rPr>
        <w:t>E. 5.2</w:t>
      </w:r>
    </w:p>
    <w:p>
      <w:r>
        <w:t>Der Anspruch auf rechtliches Gehör nach Art. 29 Abs. 2 BV verlangt, dass die verfügende Behörde die Vorbringen des Betroffenen tatsächlich hört, sorgfältig und ernsthaft prüft und in der Entscheidfindung berücksich- tigt, was sich entsprechend in der Entscheidbegründung niederschlagen muss (Art. 35 Abs. 1 VwVG). Ob sich die Behörde tatsächlich mit allen er- heblichen Vorbringen der Parteien befasst und auseinandergesetzt hat, lässt sich erst aus der Begründung erkennen. Im Asylverfahren sind die Anforderungen an die Begründungsdichte regelmässig hoch, wiegen die rechtlich geschützten Interessen der Betroffenen doch allgemein schwer (vgl. PATRICK SUTTER, in: Praxiskommentar VwVG, 2019, Art. 32 VwVG, Rz. 2). Insgesamt muss der Entscheid so abgefasst sein, dass ihn der Be- troffene gegebenenfalls sachgerecht anfechten kann, was nur möglich ist, wenn sich sowohl er als auch die Rechtsmittelinstanz über die Tragweite des Entscheides ein Bild machen können. Dabei kann sich die Behörde in ihrer Argumentation zwar auf die für den Entscheid wesentlichen Gesichts- punkte beschränken; sie darf aber nur diejenigen Argumente stillschwei- gend übergehen, die für den Entscheid erkennbar unbehelflich sind. In die- sem Sinne müssen wenigstens kurz die Überlegungen genannt werden, von denen sich die Behörde hat leiten lassen und auf die sich ihr Entscheid stützt (vgl. BGE 134 I 83 E. 4.1; BVGE 2007/21 E. 10.2 m.w.H.).</w:t>
      </w:r>
    </w:p>
    <w:p>
      <w:r>
        <w:rPr>
          <w:b/>
        </w:rPr>
        <w:t>E. 6.1</w:t>
      </w:r>
    </w:p>
    <w:p>
      <w:r>
        <w:t>Die Vorinstanz begründet die angefochtene Verfügung im Wesentli- chen damit, dass der Beschwerdeführer trotz des geltend gemachten Er- mittlungsverfahrens bei einer Rückkehr in der Türkei nicht mit erheblicher Wahrscheinlichkeit eine flüchtlingsrechtlich relevante Verfolgung zu be- fürchten habe. Da er strafrechtlich nicht vorbelastet sei und kein politisches Profil aufweise, sei die Wahrscheinlichkeit gering, zu einer unbedingten Haftstrafe verurteilt zu werden beziehungsweise, dass er eine mögliche unbedingte Haftstrafe im Gefängnis verbüssen müsse. Auch fehle zwi- schen den geltend gemachten Festnahmen in den Jahren (…) und (…) und</w:t>
      </w:r>
    </w:p>
    <w:p>
      <w:r>
        <w:t>E-84/2024 Seite 7 der Ausreise aus der Türkei im Jahr (…) ein asylrelevanter zeitlich-kausaler Zusammenhang. Zudem würden die übrigen geltend gemachten Nachteile in ihrer Intensität nicht über die Nachteile hinausgehen, welche weite Teile der kurdischen Bevölkerung in der Türkei in ähnlicher Weise treffen könn- ten. Schliesslich sei der Beschwerdeführer aufgrund der im Asylverfahren geltenden Mitwirkungspflicht verpflichtet gewesen, die für sein Asylgesuch wesentlichen Fakten vorzutragen. Es sei ihm im Rahmen der Anhörung ausreichend Gelegenheit geboten worden, sich zu seinen Vorbringen frei zu äussern. Er habe weder eine «Propaganda» noch eine Teilnahme an Anlässen der HDP erwähnt, weshalb diese im Rahmen der Stellungnahme zum Entwurf der angefochtenen Verfügung geltend gemachten Vorbringen als nachgeschoben gelten würden. Dementsprechend sei entgegen der Ansicht des Beschwerdeführers der Sachverhalt hinreichend erstellt wor- den, weshalb sich eine Zuweisung ins erweiterte Verfahren sowie weitere Abklärungen erübrigten. Die Anhörung sei im Übrigen nicht abgebrochen, sondern beendet worden. Entsprechend habe der Beschwerdeführer die Frage nach weiteren Gründen, die gegen eine Rückkehr in die Türkei spre- chen würden, verneint.</w:t>
      </w:r>
    </w:p>
    <w:p>
      <w:r>
        <w:rPr>
          <w:b/>
        </w:rPr>
        <w:t>E. 6.2</w:t>
      </w:r>
    </w:p>
    <w:p>
      <w:r>
        <w:t>In der Beschwerde wird insbesondere geltend gemacht, dass dem Rechtsvertreter im Rahmen des zweiten Teils der Anhörung zu den Asyl- gründen nie die Gelegenheit gegeben worden sei, Fragen zu stellen, und dass die Vorinstanz aus Zeitgründen die Anhörung beendet habe. Dem Rechtsvertreter sei lediglich Gelegenheit gegeben worden, eine einzige Anmerkung zu machen. In dieser Anmerkung sei darauf hingewiesen wor- den, dass der Sachverhalt zum jetzigen Zeitpunkt noch nicht erstellt sei. Die politischen Tätigkeiten des Beschwerdeführers sowie die Situation des Vaters und der beiden Schwestern seien (noch) nicht befragt worden. Auch sei der Beschwerdeführer nie gefragt worden, ob er jemals politisch aktiv gewesen sei. Die von der Vorinstanz geltend gemachte Mitwirkungspflicht könne nicht dahingehend ausgelegt werden, dass sie diese vollständig von der Pflicht zur Erstellung des Sachverhalts entbinde. Es wäre die Aufgabe des SEM gewesen, den Beschwerdeführer zu seinen politischen Aktivitä- ten zu befragen; insbesondere vor dem Hintergrund, dass es sich in seiner Entscheidbegründung auf das fehlende politische Profil des Beschwerde- führers stütze.</w:t>
      </w:r>
    </w:p>
    <w:p>
      <w:r>
        <w:rPr>
          <w:b/>
        </w:rPr>
        <w:t>E. 6.3</w:t>
      </w:r>
    </w:p>
    <w:p>
      <w:r>
        <w:t>In ihrer Vernehmlassung wendet die Vorinstanz dagegen ein, es sei Sache des Beschwerdeführers, die wesentlichen Elemente seiner Vorbrin- gen vorzutragen. Vor dem Hintergrund des erstellten Sachverhalts hätten sich weitere Fragen und Abklärungen seitens der Vorinstanz erübrigt. Auch</w:t>
      </w:r>
    </w:p>
    <w:p>
      <w:r>
        <w:t>E-84/2024 Seite 8 sei ihm im beschleunigten Asylverfahren eine Rechtsvertretung zugewie- sen worden, die ihn über seine Rechte und Pflichten im Asylverfahren in- formiert und ihn darauf hingewiesen habe, worauf er den Fokus seiner Aus- führungen legen solle. Die Untersuchungspflicht sei deshalb nicht verletzt worden.</w:t>
      </w:r>
    </w:p>
    <w:p>
      <w:r>
        <w:rPr>
          <w:b/>
        </w:rPr>
        <w:t>E. 6.4</w:t>
      </w:r>
    </w:p>
    <w:p>
      <w:r>
        <w:t>Replikweise führt der Beschwerdeführer aus, die Vorinstanz verkenne die behördlichen Pflichten aus dem Untersuchungsgrundsatz. Die Rechts- vertretung habe anlässlich der Anhörung angemerkt, dass relevante Sach- verhaltselemente noch nicht befragt worden seien und aus Zeitgründen auch nicht mehr befragt worden könnten. Der Beschwerdeführer sei nicht verantwortlich für die Disposition und Leitung der Anhörung. Es handle sich auch nicht um spezielle Besonderheiten, sondern um Fragen zum politi- schen Profil und zu den politischen Tätigkeiten des Beschwerdeführers. Diese Fragen seien zur vollständigen und korrekten Erstellung des Sach- verhalts notwendig. Es sei daher unklar, weswegen trotz der entsprechen- den Anmerkung der Rechtsvertretung nicht eine ergänzende Anhörung dis- poniert worden sei.</w:t>
      </w:r>
    </w:p>
    <w:p>
      <w:r>
        <w:rPr>
          <w:b/>
        </w:rPr>
        <w:t>E. 7.1</w:t>
      </w:r>
    </w:p>
    <w:p>
      <w:r>
        <w:t>Dem Beschwerdeführer ist Recht zu geben, wenn er geltend macht, die Vorinstanz habe den rechtserheblichen Sachverhalt nicht vollständig fest- gestellt. Das politische Profil des Beschwerdeführers erschliesst sich aus den vorliegenden Akten nicht genügend. Insbesondere ist festzustellen, dass die Vorinstanz im Rahmen der Anhörung keine Fragen zu seinen po- litischen Tätigkeiten stellte. Dabei drängten sich hierzu Nachfragen auf, da er mehrere politische Tätigkeiten in seinen bisherigen Aussagen angedeu- tet hat, beispielsweise, dass er bezüglich der Diskriminierung von Kurden in den sozialen Medien aktiv gewesen sei und einen Zusammenhang mit seinen späteren geltend gemachten Verhaftungen vermute (A14/14, F52), wobei er hierzu Screenshots von Facebook-Beiträgen einreichte. Weiter geht aus dem Anhörungsprotokoll nicht hervor, inwiefern er politisch aktiv wurde, welche Reichweite seine Facebook-Beiträge haben oder welche politische Stellung er dabei innehat. Diese Aspekte sind – im Hinblick auf die Beurteilung seines politischen Profils und damit der begründeten Ver- folgungsfurcht – jedoch Bestandteile des rechtserheblichen Sachverhalts. Überdies drängte die Vorinstanz aufgrund der fortgeschrittenen Zeit auf den Abschluss der Anhörung (A14/14, F74) und befragte den Beschwerde- führer lediglich zur ersten Festnahme im (…) (A14/14, F73). Danach been- dete sie die Anhörung ohne bezüglich der geltend gemachten zweiten</w:t>
      </w:r>
    </w:p>
    <w:p>
      <w:r>
        <w:t>E-84/2024 Seite 9 Festnahme im (…) nachzufragen. Damit ist bisher ungeklärt, weshalb er zum zweiten Mal verhaftet worden sei und in welchem Zusammenhang diese Festnahme mit seiner Ausreise stehe. Zudem ist unklar, welche Rolle die politischen Tätigkeiten des Vaters oder die Anhaltung der Schwester durch Unbekannte in Bezug auf die vorgebrachten Asylgründe des Be- schwerdeführers einnehmen. Hinsichtlich der vom Beschwerdeführer ein- gereichten Beweismittel ist schliesslich festzuhalten, dass auch diesbezüg- lich der Sachverhalt nicht genügend erstellt ist. Es ist bisher namentlich ungeklärt, wie es zum Haftbefehl gegen den Beschwerdeführer gekommen und inwiefern er durch seine Facebook-Beiträge in den Fokus der türki- schen Behörden geraten sei. Da auf entsprechende Vertiefungsfragen ver- zichtet wurde, ist nicht erstellt, inwiefern diese Dokumente für die Asylvor- bringen des Beschwerdeführers relevant sein könnten.</w:t>
      </w:r>
    </w:p>
    <w:p>
      <w:r>
        <w:rPr>
          <w:b/>
        </w:rPr>
        <w:t>E. 7.2</w:t>
      </w:r>
    </w:p>
    <w:p>
      <w:r>
        <w:t>Festzustellen ist sodann, dass der Beschwerdeführer weder die Abklä- rungen der Vorinstanz massgeblich erschwerte noch solche verunmög- lichte; ohne Weiteres wäre es der Vorinstanz möglich gewesen mehr und konkretere Folgefragen zu stellen, gab der Beschwerdeführer doch wäh- rend der Anhörung jeweils auf Nachfrage detaillierter Auskunft (bspw. A14/14 F68 und F69). Insbesondere aber hat er in Erfüllung seiner Mitwir- kungspflicht nach Art. 8 Abs. 1 AsylG zu seinen geltend gemachten Asyl- gründen mehrere Beweismittel (u.a. Vorführbefehl und Screenshots von Facebook-Beiträgen) eingereicht; auch hier hätte die Vorinstanz problem- los konkrete Fragen zu deren Inhalt stellen können. Entgegen den Ausfüh- rungen der Vorinstanz in der Vernehmlassung ist keine Verletzung der Mit- wirkungspflicht seitens des Beschwerdeführers ersichtlich.</w:t>
      </w:r>
    </w:p>
    <w:p>
      <w:r>
        <w:rPr>
          <w:b/>
        </w:rPr>
        <w:t>E. 7.3</w:t>
      </w:r>
    </w:p>
    <w:p>
      <w:r>
        <w:t>Im Übrigen hat die Vorinstanz auch ihre Begründungspflicht verletzt. Insbesondere hat sie – unter implizierter Annahme der Glaubhaftigkeit der Vorbringen des Beschwerdeführers – lediglich festgehalten, dass zwischen den von ihm geltend gemachten Festnahmen in den Jahren (…) und (…) und seiner Ausreise im Jahr (…) kein zeitlich-kausaler Zusammenhang be- stehe und damit die Asylrelevanz fehle. Hierbei hat sie sich jedoch zu Un- recht nicht mit der Frage auseinandergesetzt, inwiefern aufgrund der von ihr nicht in Frage gestellten Festnahmen und der damit verbundenen (er- höhten) subjektiven Furcht – unabhängig des zeitlichen Abstands zu den Ereignissen – die Anforderungen an die objektiv begründete Furcht vor künftiger Verfolgung herabgesetzt sein könnten (vgl. BVGE 2014/27 E. 6.1, 2010/57 E. 2.5 jeweils m.w.H).</w:t>
      </w:r>
    </w:p>
    <w:p>
      <w:r>
        <w:t>E-84/2024 Seite 10</w:t>
      </w:r>
    </w:p>
    <w:p>
      <w:r>
        <w:rPr>
          <w:b/>
        </w:rPr>
        <w:t>E. 7.4</w:t>
      </w:r>
    </w:p>
    <w:p>
      <w:r>
        <w:t>Zusammenfassend ist festzustellen, dass die angefochtene Verfügung Bundesrecht verletzt (Art. 106 Abs. 1 AsylG). Die Vorinstanz hat insbeson- dere den Sachverhalt unvollständig festgestellt, das rechtliche Gehör des Beschwerdeführers und die Begründungspflicht verletzt. Ein reformatori- scher Entscheid fällt nicht in Betracht und in Anwendung von Art. 61 VwVG ist die angefochtene Verfügung zu kassieren. Die Sache ist zu neuer Ent- scheidung an die Vorinstanz zurückzuweisen. Diese wird angewiesen, den Beschwerdeführer ergänzend anzuhören und ihm insbesondere Gelegen- heit zu geben, sich zur geltend gemachten zweiten Verhaftung und zu sei- nen politischen Tätigkeiten zu äussern. Sodann scheint zur vollständigen und richtigen Feststellung des rechtserheblichen Sachverhalts und Ge- währung des rechtlichen Gehörs angezeigt, ihm konkrete Rückfragen zu entscheidwesentlichen Punkten zu stellen. Schliesslich hat die Vorinstanz zwecks Erfüllung ihrer Begründungspflicht – soweit sie die geltend ge- machten Festnahmen nicht in Frage stellt – insbesondere rechtsgenüglich zu begründen, inwiefern der Beschwerdeführer im Hinblick auf die geltend gemachten Festnahmen sowie körperlichen und psychischen Misshand- lungen als Minderjähriger keine begründete Furcht vor zukünftiger Verfol- gung im Sinne von Art. 3 AsylG zu haben scheint.</w:t>
      </w:r>
    </w:p>
    <w:p>
      <w:r>
        <w:rPr>
          <w:b/>
        </w:rPr>
        <w:t>E. 8</w:t>
      </w:r>
    </w:p>
    <w:p>
      <w:r>
        <w:t>Angesichts dieses Verfahrensausgangs erübrigt sich eine Auseinanderset- zung mit weiteren Vorbringen in der Beschwerde; diese wird jedoch integ- raler Bestandteil des wiederaufzunehmenden erstinstanzlichen Verfahrens und entsprechend wird sie von der Vorinstanz mitzuberücksichtigen sein.</w:t>
      </w:r>
    </w:p>
    <w:p>
      <w:r>
        <w:rPr>
          <w:b/>
        </w:rPr>
        <w:t>E. 9.1</w:t>
      </w:r>
    </w:p>
    <w:p>
      <w:r>
        <w:t>Bei diesem Ausgang des Verfahrens sind keine Kosten zu erheben (Art. 63 Abs. 1 und 2 VwVG).</w:t>
      </w:r>
    </w:p>
    <w:p>
      <w:r>
        <w:rPr>
          <w:b/>
        </w:rPr>
        <w:t>E. 9.2</w:t>
      </w:r>
    </w:p>
    <w:p>
      <w:r>
        <w:t>Dem vertretenen Beschwerdeführer ist keine Parteientschädigung aus- zurichten, da es sich vorliegend um eine zugewiesene unentgeltliche Rechtsvertretung im Sinne von Art. 102h AsylG handelt, deren Leistungen vom Bund nach Massgabe von Art. 102k AsylG entschädigt werden (vgl. auch Art. 111ater AsylG). (Dispositiv nächste Seite)</w:t>
      </w:r>
    </w:p>
    <w:p>
      <w:r>
        <w:t>E-84/2024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