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E-8466/2007 vom 28. Juli 2009</w:t>
      </w:r>
    </w:p>
    <w:p>
      <w:r>
        <w:t>Bundesverwaltungsgericht, 2009-07-28, DE</w:t>
      </w:r>
    </w:p>
    <w:p>
      <w:r>
        <w:rPr>
          <w:b/>
        </w:rPr>
        <w:t xml:space="preserve">Quelle: </w:t>
      </w:r>
      <w:r>
        <w:t>https://mcp.opencaselaw.ch/entscheid/bvger_E-8466_2007</w:t>
      </w:r>
    </w:p>
    <w:p>
      <w:r>
        <w:t>FR: TAF E-8466/2007 du 28 juillet 2009</w:t>
      </w:r>
    </w:p>
    <w:p>
      <w:r>
        <w:t>IT: TAF E-8466/2007 del 28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seine Vorbringen teilweise den Anforderungen an die Glaubhaftigkeit gemäss Art. 7 AsylG und teilweise denjenigen an die Flüchtlingseigenschaft nicht genügen würden. So sei in Bezug auf die angebliche Aufforderung an den Beschwerdeführer, Spitzeldienste zu verrichten, festzustellen, dass die Beamten der türkischen Sicherheitsdienste dem Beschwerdeführer mit Bestimmtheit keine Vorabinformationen hätten zukommen lassen, bevor sie nicht Gewissheit gehabt hätten, dass er mit ihnen tatsächlich kollaborieren werde. Des Weiteren sei die angebliche Aufforderung der türkischen Beamten vom Februar/März 2006 in der Konditorei I._______ in H._______ realitätsfremd, wonach sich der Beschwerdeführer hätte ausruhen gehen sollen, um sich dann zu entscheiden, ob er zur Kooperation bereit sei. Sodann falle auf, dass der Beschwerdeführer nicht geltend gemacht habe, die türkischen Sicherheitsdienste hätten auch nach seinem Abbruch des Studiums in H._______ vom März 2006 weiterhin versucht, ihn als Spitzel zu gewinnen. Überdies sei festzuhalten, dass der Beschwerdeführer nach seiner Einreise in die Schweiz vom 1. April 2007 erst im Zusamenhang mit seiner Festnahme vom 28. September 2007 um Asyl nachgesucht habe, was die Schlussfolgerung, dass es sich bei den Vorbringen um ein Konstrukt handle, erhärte. Schliesslich lägen keine Anhaltspunkte für die Annahme vor, dass der türkische Staat betreffend die Einberufung des Beschwerdeführers in den Militärdienst in asylrelevanter Verfolgungsabsicht gehandelt hätte. Auch eine allfällige Bestrafung wegen Refraktion sei grundsätzlich nicht asylrelevant, und es gebe auch vorliegend keine Hinweise für eine mögliche Bestrafung aus asylrechtlich bedeutsamen Motiven. Was im Übrigen eine befürchtete Reflexverfolgung wegen seiner verwandtschaftlichen Nähe zu seinem in der Schweiz lebenden Schwager anbelange, sei einerseits auf die Unglaubhaftigkeit der Vorbringen zu verweisen und andererseits festzustellen, dass der Beschwerdeführer die Türkei wiederholt legal verlassen habe und wiedereingereist sei, ohne dass ihm seitens der türkischen Behörden je Schwierigkeiten erwachsen wären, weshalb keine konkreten Hinweise für eine diesbezüglich begründete Furcht vor Verfolgung gegeben seien.</w:t>
      </w:r>
    </w:p>
    <w:p>
      <w:r>
        <w:rPr>
          <w:b/>
        </w:rPr>
        <w:t>E. 5.2</w:t>
      </w:r>
    </w:p>
    <w:p>
      <w:r>
        <w:t>In der Rechtsmitteleingabe wird sinngemäss die zweifache Verletzung von Bundesrecht gerügt, indem zu Unrecht auf Unglaubhaftigkeit und fehlende Asylrelevanz der Vorbringen geschlossen worden sei. Eine Prüfung der vorliegenden Akten lässt jedoch das Bundesverwaltungsgericht zum Schluss kommen, dass das BFM das Asylgesuch des Beschwerdeführers zu Recht abgelehnt hat. So ist vorweg festzuhalten, dass der Beschwerdeführer legal und mit einem Schweizer Visum über den Flughafen von (...) sein Heimatland verlassen hat, was kaum möglich gewesen wäre, wenn er zu jenem Zeitpunkt von den türkischen Behörden landesweit gesucht worden wäre. Des Weiteren spricht gegen die Glaubhaftigkeit der Verfolgungssituation, dass der Beschwerdeführer erst nach monatelangem zuerst legalem, danach illegalem Aufenthalt in der Schweiz anlässlich einer Festnahme ein Asylgesuch gestellt hat. Die Entgegnung in der Beschwerde, er habe genau am Tag, an dem er festgenommen worden sei, ein Asylgesuch stellen wollen, bildet keine taugliche Erklärung für dieses Verhalten, zumal damit noch immer nicht erhellt ist, weshalb er dies nicht bereits früher, spätestens bei Ablauf seines Visums, getan hat, was von einer wirklich verfolgten Person erfahrungsgemäss zu erwarten gewesen wäre. Sodann ist die geltend gemachte zweimalige Behelligung durch die Zivilpolizei und die damit begründete Furcht vor einer Verfolgung in Übereinstimmung mit der Vorinstanz als Konstrukt zu werten. Wie bereits in der Zwischenverfügung vom 20. Dezember 2007 angeführt, muss die Behauptung des Beschwerdeführers, von der Polizei Insiderinformationen erhalten zu haben, bevor er einer Kooperation zugestimmt habe, als realitätsfremd gewertet werden. Ebensowenig ist erklärbar, weshalb der Beschwerdeführer nach der geltend gemachten zweiten Anwerbung für Spitzeltätigkeiten im Februar/März 2006 (respektive nach Abbruch des Studiums gemäss BFM) keine weiteren Behelligungen mehr erwähnte. Die in diesem Zusammenhang getätigte Behauptung in der Beschwerde, er sei nach dem Ereignis sofort nach Ankara gefahren, lässt sich im Übrigen mit der Aussage bei der direkten Anhörung durch das BFM, er sei nach diesem Vorfall noch während eines Monats an die Hochschule gegangen (vgl. A14, S. 6), nicht vereinbaren. Dass er nach einem dreimonatigen Aufenthalt in Ankara (wo er im Übrigen gearbeitet und offenbar keine behördlichen Behelligungen zu erdulden hatte) immer wieder zu seinen Eltern an seinen Heimatort F._______ zurückgekehrt sei (vgl A14 S. 4), entspricht nicht dem Verhalten einer von staatlicher Seite verfolgten Person und ist nicht nachvollziehbar, zumal die staatlichen Behörden den Beschwerdeführer mit erheblicher Wahrscheinlichkeit bei seinen Eltern gesucht hätten, wenn sie seiner hätten habhaft werden wollen. Für die in der Beschwerde bekräftigte Annahme, dass das Aufgebot der Militärbehörden mit der Beziehung des Beschwerdeführers zur Familie J._______ (im Sinne einer Reflexverfolgung) und mit der Absage hinsichtlich der Spitzeltätigkeit zusammenhänge, bestehen nicht zuletzt vor dem Hintergrund des vorgängig Gesagten keine konkreten Hinweise. Was insbesondere die befürchtete Reflexverfolgung anbelangt, ist festzuhalten, dass keine Anhaltspunkte für die Annahme ersichtlich sind, dass die türkischen Behörden den Beschwerdeführer nun behelligen sollten, nachdem der (zukünftige) Schwager bereits im Jahre 1994 die Türkei verlassen und in der Schweiz um Asyl nachgesucht und sich die verwandtschaftliche Beziehung erst Jahre später durch die Heirat seiner Schwester ergeben hatte. Nicht einsehbar ist, weshalb der türkische Staat den Beschwerdeführer wegen seines in der Schweiz als anerkannter Flüchtling lebenden Schwagers erst im Militärdienst behelligen sollte. Im Übrigen stellt die alle männlichen Staatsbürger umfassende Militärdienstpflicht in der Türkei eine staatliche Verpflichtung dar, welche grundsätzlich nicht asylrelevant ist. Eine allfällige Bestrafung wegen Militärdienstverweigerung erfolgt zudem aus militärstrafrechtlichen und somit aus legitimen Motiven. Folglich sind im vorliegenden Fall die geltend gemachten Befürchtungen vor einer allfälligen Bestrafung wegen Nichtbefolgung eines militärischen Aufgebots asylrechtlich unerheblich. Nach dem Gesagten und mit Verweis auf die zutreffenden Erwägungen der Vorinstanz sind die erhobenen Rügen somit als unbegründet zu bezeichnen.</w:t>
      </w:r>
    </w:p>
    <w:p>
      <w:r>
        <w:rPr>
          <w:b/>
        </w:rPr>
        <w:t>E. 5.3</w:t>
      </w:r>
    </w:p>
    <w:p>
      <w:r>
        <w:t>Zusammenfassend folgt, dass das BFM das Asylgesuch des Beschwerdeführers zu Recht abgelehnt hat. An dieser Einschätzung vermögen auch die mit der Beschwerde eingereichten Internet-Ausdrucke nichts zu ändern.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Weder die allgemeine Lage in der Türkei noch die persönliche Situation des Beschwerdeführers lassen auf eine konkrete Gefährdung schliessen. Angesichts der heutigen Lage in der Türkei kann nicht von einer Situation allgemeiner Gewalt oder von kriegerischen oder bürgerkriegsähnlichen Verhältnissen gesprochen werden, welche für den Beschwerdeführer bei einer Rückkehr eine konkrete Gefährdung darstellen würde. Sodann bestehen auch keine anderen Hinweise, dass der junge Beschwerdeführer, von dem keine gesundheitlichen Beeinträchtigungen aktenkundig sind, bei einer Rückkehr in den Heimatstaat in eine konkrete, seine Existenz bedrohende Situation geraten könnte. Der Beschwerdeführer verfügt in der Türkei zudem über ein familiäres Beziehungsnetz, leben doch seine Eltern nach wie vor in F._______ (vgl. A1 S. 4), womit er bei einer Rückkehr in sein Heimatland nicht auf sich allein gestellt ist.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11. Januar 2008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