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E-8465/2007 vom 29. Mai 2009</w:t>
      </w:r>
    </w:p>
    <w:p>
      <w:r>
        <w:t>Bundesverwaltungsgericht, 2009-05-29, DE</w:t>
      </w:r>
    </w:p>
    <w:p>
      <w:r>
        <w:rPr>
          <w:b/>
        </w:rPr>
        <w:t xml:space="preserve">Quelle: </w:t>
      </w:r>
      <w:r>
        <w:t>https://mcp.opencaselaw.ch/entscheid/bvger_E-8465_2007</w:t>
      </w:r>
    </w:p>
    <w:p>
      <w:r>
        <w:t>FR: TAF E-8465/2007 du 29 mai 2009</w:t>
      </w:r>
    </w:p>
    <w:p>
      <w:r>
        <w:t>IT: TAF E-8465/2007 del 29 maggio 2009</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Art. 50 und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Das BFM hebt die vorläufige Aufnahme auf und ordnet den Vollzug der Weg- oder Ausweisung an, wenn die Voraussetzungen nicht mehr gegeben sind (Art. 84 Abs. 2 des Bundesgesetzes über die Ausländerinnen und Ausländer vom 16. Dezember 2005 [AuG, SR 142.20]). Die Voraussetzungen für die vorläufige Aufnahme sind nicht mehr gegeben, wenn der Vollzug der rechtskräftig angeordneten Wegweisung zulässig (Art. 83 Abs. 3 AuG) und es der ausländischen Person möglich (Art. 83 Abs. 2 AuG) und zumutbar (Art. 83 Abs. 4 AuG) ist, sich rechtmässig in ihren Heimat-, in den Herkunftsstaat oder in einen Drittstaat zu begeben.</w:t>
      </w:r>
    </w:p>
    <w:p>
      <w:r>
        <w:rPr>
          <w:b/>
        </w:rPr>
        <w:t>E. 3</w:t>
      </w:r>
    </w:p>
    <w:p>
      <w:r>
        <w:t>Ist der Vollzug der Wegweisung nicht möglich, nicht zulässig oder nicht zumutbar, so regelt das Bundesamt das Anwesenheitsverhältnis nach den gesetzlichen Bestimmungen über die vorläufige Aufnahme (Art. 44 Abs. 2 AsylG i.V.m. Art 83 Abs. 1 AuG, welcher seit dem 1. Januar 2008 in Kraft ist). Vor dem 1. Januar 2008 wurden die Voraussetzungen für die vorläufige Aufnahme im Bundesgesetz vom 26. März 1931 über Aufenthalt und Niederlassung der Ausländer (aANAG, BS 1 121) geregelt, welches zeitgleich mit dem Inkrafttreten des AuG aufgehoben wurde (vgl. Art. 125 AuG i.V.m. Ziff. I Anhang zum AuG). Inhaltlich hat sich an den Voraussetzungen für die Anordnung der vorläufigen Aufnahme durch die Gesetzesänderung nichts geändert. Indes ist die vorläufige Aufnahme gestützt auf Art. 44 Abs. 3 aAsylG (schwerwiegende persönliche Notlage) im Rahmen der genannten Gesetzesänderung aufgehoben worden.</w:t>
      </w:r>
    </w:p>
    <w:p>
      <w:r>
        <w:rPr>
          <w:b/>
        </w:rPr>
        <w:t>E. 4.1</w:t>
      </w:r>
    </w:p>
    <w:p>
      <w:r>
        <w:t>Der Vollzug ist nicht zulässig, wenn völkerrechtliche Verpflichtungen der Schweiz einer Weiterreise der Ausländerin oder des Ausländers in den Heimat-, Herkunfts- oder in einen Drittstaat entgegenstehen (Art. 83 Abs. 3 AuG).</w:t>
      </w:r>
    </w:p>
    <w:p>
      <w:r>
        <w:rPr>
          <w:b/>
        </w:rPr>
        <w:t>E. 4.2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4.3</w:t>
      </w:r>
    </w:p>
    <w:p>
      <w:r>
        <w:t>Die Vorinstanz wies in ihrer Verfügung vom 28. März 2007 zutreffend darauf hin, dass der Grundsatz der Nichtrückschiebung nur Personen schützt, die die Flüchtlingseigenschaft erfüllen (vgl. Mario Gattiker, Das Asyl- und Wegweisungsverfahren, 3. Aufl., Bern 1999, S. 89). Diese Verfügung vom 28. März 2007 ist dabei im Rahmen von Art. 32 Abs. 3 Bst. b AsylG in Bezug auf die festgestellte fehlende Flüchtlingseigenschaft unangefochten in Rechtskraft erwachsen; allein vor diesem Hintergrund besteht im vorliegenden Verfahren kein Raum für eine (erneute) Überprüfung derselben Asylvorbringen. Unerheblich ist sein Einwand, er habe damals keine Beschwerde erhoben, weil er ja Schutz erhalten habe. Sodann können auch die Wiederholungen seiner Vorbringen in seiner Stellungnahme vom 23. Mai 2008 zur fehlenden Schutzinfrastruktur in seinem Heimatland grundsätzlich nicht dazu führen, die besagte Verfügung des BFM einer Neubeurteilung zuzuführen. Dies umso weniger, als in der nicht angefochtenen Verfügung festgehalten wurde, dass dem Beschwerdeführer bezüglich der geltend gemachten Verfolgung durch Dritte die Möglichkeit offen gestanden hätte, sich um behördlichen Schutz zu bemühen. Es sind weder den Asylakten noch der Stellungnahme Gründe zu entnehmen, weshalb die nordirakischen Behörden im vorliegenden Fall nicht schutzwillig oder schutzfähig sein sollten. Dem Beschwerdeführer ist es nach dem Gesagten (rechtskräftig) nicht gelungen, eine asylrechtlich erhebliche Gefährdung nachzuweisen oder glaubhaft zu machen, weshalb das in Art. 5 AsylG verankerte Prinzip des flüchtlingsrechtlichen Non-Refoulements im vorliegenden Verfahren keine Anwendung finden kann. Seine Rückkehr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was ihm nicht gelungen ist. Die allgemeine Sicherheits- und Menschenrechtslage im kurdischen Nordirak, die im Grundsatzurteil vom 22. Januar 2008 i.S. E-6982/2006 (publiziert unter BVGE 2008/4) Gegenstand einer umfassenden Beurteilung bildet, lässt den Wegweisungsvollzug zum heutigen Zeitpunkt nicht als unzulässig erscheinen.</w:t>
      </w:r>
    </w:p>
    <w:p>
      <w:r>
        <w:rPr>
          <w:b/>
        </w:rPr>
        <w:t>E. 4.4</w:t>
      </w:r>
    </w:p>
    <w:p>
      <w:r>
        <w:t>Nach dem Gesagten ist der Vollzug der Wegweisung sowohl im Sinne der asyl- als auch der völkerrechtlichen Bestimmungen zulässig.</w:t>
      </w:r>
    </w:p>
    <w:p>
      <w:r>
        <w:rPr>
          <w:b/>
        </w:rPr>
        <w:t>E. 5.1</w:t>
      </w:r>
    </w:p>
    <w:p>
      <w:r>
        <w:t>Aus humanitären Gründen, nicht in Erfüllung einer völkerrechtlichen Verpflichtung der Schweiz, wird auf den Vollzug der Wegweisung verzichtet, wenn die Rückkehr in den Heimatstaat für den Betroffenen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aber nicht durchführbaren medizinischen Behandlung, angenommen werden (vgl. Botschaft zum Bundesbeschluss über das Asylverfahren vom 22. Juni 1990, BBl 1990 II 668).</w:t>
      </w:r>
    </w:p>
    <w:p>
      <w:r>
        <w:rPr>
          <w:b/>
        </w:rPr>
        <w:t>E. 5.2</w:t>
      </w:r>
    </w:p>
    <w:p>
      <w:r>
        <w:t>In der angefochtenen Verfügung hielt die Vorinstanz fest, aufgrund der Sicherheits- und Menschenrechtslage herrsche in den drei von der kurdischen Regionalregierung kontrollierten nordirakischen Provinzen Dohuk, Erbil und Sulaymaniya - entgegen der Annahme des Beschwerdeführers in der Stellungnahme vom 9. Juli 2007 - keine Situation allgemeiner Gewalt. Vom bewaffneten Konflikt, welcher im Irak in den letzten Jahren viele Menschenleben gefordert habe, seien die vorgenannten Provinzen weitgehend ausgenommen, auch wenn in letzter Zeit einzelne gewaltsame Zwischenfälle zu verzeichnen gewesen seien. Der Wegweisungsvollzug sei daher grundsätzlich zumutbar. Zudem teilten auch andere Staaten (Schweden, Niederlande, Deutschland, Grossbritannien, Norwegen und Dänemark) die Einschätzung des BFM, wonach der Wegweisungsvollzug in die drei genannten Provinzen grundsätzlich zumutbar sei. Schliesslich sei festzustellen, dass sich auch das UNHCR nicht grundsätzlich gegen den Vollzug von Wegweisungen in die genannten Provinzen stelle. Im Übrigen sprächen im vorliegenden Fall auch keine individuellen Gründe gegen die Zumutbarkeit des Wegweisungsvollzugs. Im ordentlichen Asylverfahren sei die vom Beschwerdeführer geltend gemachte Gefährdung als widersprüchlich und damit nicht glaubhaft erachtet worden, weshalb er von der im Nordirak garantierten Niederlassungsfreiheit Gebrauch machen könne. Auch wenn die Türkei im Grenzgebiet militärisch interveniere, sei daraus keine individuelle Gefährdung des Beschwerdeführers ersichtlich. Der Beschwerdeführer macht in seiner Rechtsmitteleingabe und in seiner Stellungnahme im Wesentlichen geltend, die Sicherheitslage in den kurdisch regierten Nordprovinzen habe sich zwar in letzter Zeit verbessert, jedoch herrsche dort - entgegen der Analyse der Vorinstanz - nach wie vor eine Situation allgemeiner Gewalt und eine signifikante Instabilität. Dies lasse sich anhand einer Vielzahl von Anschlägen aufzeigen, welche in jüngerer Vergangenheit in den drei Nordprovinzen Iraks verübt worden seien. Die Zunahme von Vertriebenen aus dem Süd- und Zentralirak habe vermehrt zu sozialen Spannungen und Unruhen geführt. Zudem stellten ständige Drohungen und Interventionen des Nachbarlands Türkei eine ernsthafte Gefahr für die genannten irakischen Nordprovinzen dar. Schliesslich stünde ihm auch keine Aufenthaltsalternative zur Verfügung, zumal er in den übrigen Landesteilen des Iraks niemanden kenne und damit auf keine Unterstützung zählen könne. Im Übrigen hätte er als Kurde und Sunnite keine Möglichkeit, ein erträgliches Leben im Zentralirak zu führen.</w:t>
      </w:r>
    </w:p>
    <w:p>
      <w:r>
        <w:rPr>
          <w:b/>
        </w:rPr>
        <w:t>E. 5.2.1</w:t>
      </w:r>
    </w:p>
    <w:p>
      <w:r>
        <w:t>In Bezug auf die allgemeine Lage in den drei nordirakischen Provinzen kann auf die vom Bundesverwaltungsgericht vorgenommene Einschätzung der Lage in einem ergangenen Urteil verwiesen werden (vgl. BVGE 2008/5). Das Gericht stellt dort zusammenfassend fest, dass in den drei kurdischen Provinzen Dohuk, Sulaymaniya und Erbil keine Situation allgemeiner Gewalt herrscht und die dortige politische Lage nicht dermassen angespannt ist, als dass eine Rückführung dorthin als generell unzumutbar betrachtet werden müsste. Zudem ist die Region mit Direktflügen aus Europa und aus den Nachbarstaaten erreichbar. Damit entfällt das Element der unzumutbaren Rückreise via Bagdad und anschliessend auf dem Landweg durch den von Gewalt heimgesuchten Zentralirak. Für allgemein zumutbar erachtet es grundsätzlich die Rückkehr von Personen, die ursprünglich aus der Region stammen oder längere Zeit dort gelebt haben und über ein soziales Netz (Familie, Verwandtschaft oder Bekanntenkreis) oder über Beziehungen zu den herrschenden Parteien verfügt. Für alleinstehende Frauen und für Familien mit Kindern, sowie für Kranke und Betagte ist bei der Feststellung der Zumutbarkeit des Wegweisungsvollzugs jedoch grosse Zurückhaltung angebracht (vgl. ebenda E. 7.5 und insbesondere 7.5.8). Zu prüfen bleibt, ob persönliche Gründe des Beschwerdeführers den Wegweisungsvollzug als nicht zumutbar erscheinen lassen.</w:t>
      </w:r>
    </w:p>
    <w:p>
      <w:r>
        <w:rPr>
          <w:b/>
        </w:rPr>
        <w:t>E. 5.2.2</w:t>
      </w:r>
    </w:p>
    <w:p>
      <w:r>
        <w:t>Der erst im Alter von (...) Jahren in die Schweiz eingereiste Beschwerdeführer hat den weitaus grössten Teil seines Lebens in der Provinz Sulaymaniya verbracht, ist mit Sprache, Kultur, Arbeits- und Lebensweise bestens vertraut. Eigenen Angaben gemäss verfüge er in der Heimat über ein familiäres Beziehungsnetz (...), sei alleinstehend, womit er nach seiner Rückkehr lediglich für seinen eigenen Unterhalt aufzukommen hat, was ihm - wenn auch mit Anfangsschwierigkeiten - gelingen dürfte. Schliesslich hat der aktenkundig gesunde Beschwerdeführer durch seine Migration in die Schweiz eine gewisse Flexibilität unter Beweis gestellt, weshalb ihm der Aufbau einer neuen Existenz - bei entsprechendem Bemühen - auch in seinem Heimatland gelingen sollte. Zudem kann davon ausgegangen werden, dass sich der Beschwerdeführer mit Hilfe seiner Verwandten, seines Beziehungsnetzes und Arbeitskollegen wieder eingliedern wird. Auch wenn der Einstieg ins Berufsleben infolge der wirtschaftlichen Situation im Heimatland für den Beschwerdeführer nicht einfach sein dürfte, ist es ihm zuzumuten, sich um eine Arbeit zu bemühen, um für sich eine Existenzgrundlage zu schaffen, zumal er über eine gute Schulbildung (10 Jahre Grund- und Sekundarschule) sowie über Berufserfahrung als (...) verfügt. Zudem ist der Beschwerdeführer in der Schweiz als (...) tätig, womit er zusätzliche Berufserfahrungen sammeln konnte. Demgemäss dürfte es ihm möglich sein, sich in den Arbeitsmarkt integrieren zu können. Ansonsten kann er auch die Rückkehrförderung "Irak" des BFM beanspruchen, welches ihm die Reintegration im Heimatland zusätzlich erleichtern dürfte. Damit ist es dem Beschwerdeführer zuzumuten, sich wieder in der Provinz Sulaymaniya niederzulassen.</w:t>
      </w:r>
    </w:p>
    <w:p>
      <w:r>
        <w:rPr>
          <w:b/>
        </w:rPr>
        <w:t>E. 5.3</w:t>
      </w:r>
    </w:p>
    <w:p>
      <w:r>
        <w:t>Somit erweist sich der Vollzug der Wegweisung insgesamt auch als zumutbar.</w:t>
      </w:r>
    </w:p>
    <w:p>
      <w:r>
        <w:rPr>
          <w:b/>
        </w:rPr>
        <w:t>E. 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Die Vorinstanz hat den Vollzug zu Recht als zulässig, zumutbar und möglich erachtet und daher die vorläufige Aufnahme zu Recht aufgehoben.</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Wie den Akten zu entnehmen ist, ist der Beschwerdeführer seit dem 17. Dezember 2008 erwerbstätig, weshalb nicht mehr von dessen Bedürftigkeit auszugehen ist. Das Gesuch um Gewährung der unentgeltlichen Rechtspflege gemäss Art. 65 Abs. 1 VwVG ist daher in Wiedererwägung der Zwischenverfügung vom 17. Dezember 2007 abzuweisen. Dem Beschwerdeführer sind die Verfahrenskosten im Betrag von Fr. 600.--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