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E-8433/2010 vom 21. Dezember 2010</w:t>
      </w:r>
    </w:p>
    <w:p>
      <w:r>
        <w:t>Bundesverwaltungsgericht, 2010-12-21, FR</w:t>
      </w:r>
    </w:p>
    <w:p>
      <w:r>
        <w:rPr>
          <w:b/>
        </w:rPr>
        <w:t xml:space="preserve">Quelle: </w:t>
      </w:r>
      <w:r>
        <w:t>https://mcp.opencaselaw.ch/entscheid/bvger_E-8433_2010</w:t>
      </w:r>
    </w:p>
    <w:p>
      <w:r>
        <w:t>FR: TAF E-8433/2010 du 21 décembre 2010</w:t>
      </w:r>
    </w:p>
    <w:p>
      <w:r>
        <w:t>IT: TAF E-8433/2010 del 21 dicembre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La recourante a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de la recourante, l'objet du recours ne peut porter que sur le bien-fondé de cette déci­sion (cf. ATAF 2009/54 consid. 1.3.3,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w:t>
      </w:r>
    </w:p>
    <w:p>
      <w:r>
        <w:rPr>
          <w:b/>
        </w:rPr>
        <w:t>E. 2.2</w:t>
      </w:r>
    </w:p>
    <w:p>
      <w:r>
        <w:t>L'examen de la demande d'asile ne doit ainsi pas être confon­du avec la procédure de détermination de l'Etat membre de l'espace Du­blin responsable (ci après : l'Etat membre), celle-ci se faisant en parti­culier sur la base de la situation qui existait au mo­ment où le deman­deur d'asile a présenté sa de­mande pour la pre­mière fois (cf. art. 5 par. 2 du règlement (CE) n° 343/2003 du Conseil du 18 février 2003 éta­blissant les critères et mécanismes de déter­mination de l'Etat membre responsable de l'exa­men d'une demande d'asile présentée par un ressortissant d'un pays tiers [ci après : rè­glement Dublin ou le règlement]). Le règlement Dublin entend en effet lutter contre la multi­plication des demandes d'asile en Europe et il s'agit donc, une fois les conditions d'application du règle­ment Dublin réunies, de laisser les questions relatives au droit d'asile ou à une autre forme de protection à la compé­tence des seules juridictions de l'Etat membre responsable.</w:t>
      </w:r>
    </w:p>
    <w:p>
      <w:r>
        <w:rPr>
          <w:b/>
        </w:rPr>
        <w:t>E. 3</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(AAD, RS 0.142.392.68), l'office fédéral exa­mine la compétence relative au traitement d'une de­mande d'asile se­lon les critères fixés dans le règlement (cf. art. 1 et 29a al.1 de l'ordonnance 1 du 11 août 1999 sur l'asile relative à la pro­cédure [OA 1, RS 142.311] ; Mathias Hermann, Das Dublin System, Zurich 2008, p. 193 ss).</w:t>
      </w:r>
    </w:p>
    <w:p>
      <w:r>
        <w:rPr>
          <w:b/>
        </w:rPr>
        <w:t>E. 4.1</w:t>
      </w:r>
    </w:p>
    <w:p>
      <w:r>
        <w:t>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let. b à e du règlement).</w:t>
      </w:r>
    </w:p>
    <w:p>
      <w:r>
        <w:rPr>
          <w:b/>
        </w:rPr>
        <w:t>E. 4.2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 (cf. art. 29a al. 3 OA 1).</w:t>
      </w:r>
    </w:p>
    <w:p>
      <w:r>
        <w:rPr>
          <w:b/>
        </w:rPr>
        <w:t>E. 5.1</w:t>
      </w:r>
    </w:p>
    <w:p>
      <w:r>
        <w:t>En l'espèce, il ressort du dossier que la recourante, avant de déposer une demande d'asile en Suisse, a séjourné pendant près de (...) ans en (...). Certes, elle a fait valoir qu'elle serait tuée par sa belle-famille en cas de retour dans ce pays et par sa propre famille, si elle retournait en Serbie. Elle n'a cependant pas allégué avoir eu des problèmes avec les autorités (...). Aussi, en l'absence de tout autre élé­ment per­mettant de supposer qu'elle a transité par un autre Etat membre, (...) doit dès lors être considéré comme responsable de l'exa­men de sa de­mande d'asile. Les au­torités (...) ont d'ailleurs fait savoir le 9 novembre 2010 qu'elles acceptaient sa reprise en charge en vertu de l'art. 10 du règle­ment Dublin, soit en précisant qu'elles s'engageaient à examiner la demande d'asile déposée par l'intéressée.</w:t>
      </w:r>
    </w:p>
    <w:p>
      <w:r>
        <w:rPr>
          <w:b/>
        </w:rPr>
        <w:t>E. 5.2</w:t>
      </w:r>
    </w:p>
    <w:p>
      <w:r>
        <w:t>Ce pays, membre de l'Union européenne depuis 1995 et de l'espace Schengen depuis 1996, offre en outre des garanties suffisantes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(cf. § 8 et 10 ch. 3 de la loi sur l'asile 2005). C'est dès lors à juste titre que l'office fédéral a pu estimer que la déci­sion contestée ne privait pas la recourante du droit de solliciter la re­connaissance de sa qualité de réfugié, ni de la possibilité de voir sa demande d'asile examinée de façon effective, et ne constituait pas da­vantage une violation du principe de non-refoulement au sens de l'art. 33 de la convention relative au statut des réfugiés (RS 0.142.30), des stipulations de l'art. 3 de la convention du 4 novembre 1950 de sauve­garde des droits de l'homme et des libertés fondamentales (CEDH, RS 0.101), ni de l'art. 3 de la convention du 10 décembre 1984 contre la torture et autres peines ou traitements cruels, inhu­mains ou dégra­dants (Conv. Torture, RS 0.105), ni de toute autre dis­position.</w:t>
      </w:r>
    </w:p>
    <w:p>
      <w:r>
        <w:rPr>
          <w:b/>
        </w:rPr>
        <w:t>E. 5.3</w:t>
      </w:r>
    </w:p>
    <w:p>
      <w:r>
        <w:t>Cela étant, dans le présent cas, le Tribunal observe que l'intéressée met en avant sa crainte de faire l'objet de violences domestiques de la part de son époux, respectivement de la part de la famille de ce dernier, en cas de retour en (...) pour faire obstacle à son renvoi dans ce pays. Or, force est de constater qu'il lui appartient de solliciter une protection ad hoc de la part des autorités (...), lesquelles sont tenues de la lui accorder, en application des normes édictées par le droit pénal (...) (cf. droit pénal (...) partie spéciale chapitre 1). Par ailleurs, dans la mesure où l'intéressée sollicite des autorités suisses qu'elles se déclarent compétentes pour traiter sa demande d'asile, force est de constater qu'elle ne remplit aucun des critères définis à l'art. 15 du règlement (clause humanitaire), de sorte que, sous cet angle également, sa requête doit être rejetée.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(i. c. transfert) n'étant en l'occur­rence réalisée, le Tribunal est tenu, de par la loi, de confirmer cette mesure. Comme rappelé ci-dessus, l'examen de la demande d'asile ne doit en outre pas être confon­du avec la procédure de détermination de l'Etat membre de l'espace Du­blin responsable. Il ressort dès lors de la systé­matique du règlement qu'il n'y a pas de place pour un examen séparé des conditions empêchant l'exécution du renvoi (ou transfert), une fois qu'il a été jugé que la clause de souveraineté ou toute autre clause dérogatoire ne s'appliquait pas. Il s'ensuit que pour les raisons explicitées ci-dessus, le transfert de l'intéressée vers (...) est manifestement licite, raisonnablement exigible et possible.</w:t>
      </w:r>
    </w:p>
    <w:p>
      <w:r>
        <w:rPr>
          <w:b/>
        </w:rPr>
        <w:t>E. 7</w:t>
      </w:r>
    </w:p>
    <w:p>
      <w:r>
        <w:t>Sur le vu de ce qui précède, le recours doit donc être rejeté et la décision de l'ODM confirmée</w:t>
      </w:r>
    </w:p>
    <w:p>
      <w:r>
        <w:rPr>
          <w:b/>
        </w:rPr>
        <w:t>E. 8</w:t>
      </w:r>
    </w:p>
    <w:p>
      <w:r>
        <w:t>Confor­mément à la jurisprudence de la Cour de justice des communautés européennes (cf. arrêt du 29 janvier 2009, C-19/08 Petrosian, publié in JO C 69 du 21 mars 2009, p. 10), dont il convient de s'inspirer (cf. art. 5 ch. 1 AAD ; FF 2004 [44] p. 5757 s.), en cas de saisie d'une autorité de recours, le délai d'exécution du transfert commence à courir seulement à compter de la décision juri­dictionnelle qui statue sur le bien-fondé de la procédure et qui n'est plus susceptible de faire obstacle, en fait ou en droit, à la mise en oeuvre du transfert (cf. dans ce sens : Fabienne Kauff-Gazin, Procédure du transfert du de­mandeur d'asile, in Revue Europe, n° 3, mars 2009, p. 11 ; Clemens Kurzidem, Sechsmonatsfrist für die Überstellung nach dem Dublin-II-Verfahren, Zeitschrift für Ausländerrecht und Ausländerpolitik, 2009, p.191 ; Christian Filzwieser/Andrea Sprung, Dublin II-Verordnung, 3ème éd., com. 27 ad art. 19). Il appartiendra dès lors à l'ODM, conformément à l'art. 3 par. 4 du règlement Dublin, d'informer la recourante sur les modalités de l'exécution de son transfert en (...) en tenant compte des considérants qui précèdent et de communiquer aux autorités (...) le nouveau délai de transfert (cf. art. 9 par. 1 du règlement Dublin).</w:t>
      </w:r>
    </w:p>
    <w:p>
      <w:r>
        <w:rPr>
          <w:b/>
        </w:rPr>
        <w:t>E. 9</w:t>
      </w:r>
    </w:p>
    <w:p>
      <w:r>
        <w:t>Au vu des circonstances particulières du cas d'espèce, il est renoncé à percevoir des frais de procédure de sorte que la demande tendant à la dispense du versement d'une avance de frais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