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E-8429/2015 vom 23. Juni 2017</w:t>
      </w:r>
    </w:p>
    <w:p>
      <w:r>
        <w:t>Bundesverwaltungsgericht, 2017-06-23, DE</w:t>
      </w:r>
    </w:p>
    <w:p>
      <w:r>
        <w:rPr>
          <w:b/>
        </w:rPr>
        <w:t xml:space="preserve">Quelle: </w:t>
      </w:r>
      <w:r>
        <w:t>https://mcp.opencaselaw.ch/entscheid/bvger_E-8429_2015</w:t>
      </w:r>
    </w:p>
    <w:p>
      <w:r>
        <w:t>FR: TAF E-8429/2015 du 23 juin 2017</w:t>
      </w:r>
    </w:p>
    <w:p>
      <w:r>
        <w:t>IT: TAF E-8429/2015 del 23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mithin einzutreten.</w:t>
      </w:r>
    </w:p>
    <w:p>
      <w:r>
        <w:rPr>
          <w:b/>
        </w:rPr>
        <w:t>E. 2</w:t>
      </w:r>
    </w:p>
    <w:p>
      <w:r>
        <w:t>Über offensichtlich begründete Beschwerden wird in einzelrichterlicher Zuständigkeit mit Zustimmung eines zweiten Richters beziehungsweise einer zweiten Richterin entschieden (Art. 111 Bst. e AsylG). Vorliegend handelt es sich - insbesondere aufgrund der in dieser Rechtsfrage neuergangenen Rechtsprechung des Bundesverwaltungsgerichts (Urteil D-7853/2015 vom 31. Mai 2017 E. 13, zur Publikation als Referenzurteil vorgesehen) - im Urteilszeitpunkt um eine solche, weshalb der Beschwerdeentscheid nur summarisch zu begründen ist (Art. 111a Abs. 2 AsylG).</w:t>
      </w:r>
    </w:p>
    <w:p>
      <w:r>
        <w:rPr>
          <w:b/>
        </w:rPr>
        <w:t>E. 3.1</w:t>
      </w:r>
    </w:p>
    <w:p>
      <w:r>
        <w:t>Die Kognition des Bundesverwaltungsgerichts und die zulässigen Rügen richten sich im Asylbereich nach Art. 106 Abs. 1 AsylG.</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 wie vorliegend -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w:t>
      </w:r>
    </w:p>
    <w:p>
      <w:r>
        <w:rPr>
          <w:b/>
        </w:rPr>
        <w:t>E. 4.4</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Das SEM ersuchte Ungarn gestützt auf die Angaben der Beschwerdeführenden, wonach sie in diesem Land registriert worden waren, um ihre Aufnahme gemäss Art. 13 Abs. 1 Dublin-III-VO. Die ungarischen Behörden liessen dieses Ersuchen innert der in Art. 22 Abs. 1 Dublin-III-VO vorgesehenen Frist unbeantwortet, womit sie die Zuständigkeit Ungarns implizit anerkannten (Art. 22 Abs. 7 Dublin-III-VO). Die grundsätzliche Zuständigkeit Ungarns ist somit gegeben.</w:t>
      </w:r>
    </w:p>
    <w:p>
      <w:r>
        <w:rPr>
          <w:b/>
        </w:rPr>
        <w:t>E. 6.1</w:t>
      </w:r>
    </w:p>
    <w:p>
      <w:r>
        <w:t>Im Lichte von Art. 3 Abs. 2 Dublin-III-VO ist weiter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welche die grundsätzliche Zuständigkeit Ungarns im Sinne von Art. 3 Abs. 1 Dublin-III-VO durchbrechen würden.</w:t>
      </w:r>
    </w:p>
    <w:p>
      <w:r>
        <w:rPr>
          <w:b/>
        </w:rPr>
        <w:t>E. 6.2</w:t>
      </w:r>
    </w:p>
    <w:p>
      <w:r>
        <w:t>Das Bundesverwaltungsgericht hat im Urteil D-7853/2015 (vgl. a.a.O.)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 Mit derselben Begründung, wie sie vorstehend dargelegt wurde, ist es dem Gericht vorliegend nicht möglich, die Vorbringen in der Beschwerde vom 28. Dezember 2015 vollständig zu beurteilen. Die angefochtene Verfügung ist folglich aufzuheben und die Sache zur vollständigen Sachverhaltsfeststellung sowie zur neuen Entscheidung an die Vorinstanz zurückzuweisen. Die Beschwerde ist demnach - soweit damit die Aufhebung der angefochtenen Verfügung verlangt worden ist - gutzuheissen, ohne dass auf weitere Beschwerdevorbringen eingegangen werden müsste.</w:t>
      </w:r>
    </w:p>
    <w:p>
      <w:r>
        <w:rPr>
          <w:b/>
        </w:rPr>
        <w:t>E. 7.1</w:t>
      </w:r>
    </w:p>
    <w:p>
      <w:r>
        <w:t>Bei diesem Ausgang des Verfahrens sind keine Verfahrenskosten zu erheben (Art. 63 Abs. 1 und 2 VwVG).</w:t>
      </w:r>
    </w:p>
    <w:p>
      <w:r>
        <w:rPr>
          <w:b/>
        </w:rPr>
        <w:t>E. 7.2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Da die Beschwerdeführenden im Beschwerdeverfahren nicht vertreten waren, ist nicht ersichtlich, welche verhältnismässig hohen Kosten ihnen entstanden sein könnten, weshalb ihnen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