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E-8422/2008 vom 8. Januar 2013</w:t>
      </w:r>
    </w:p>
    <w:p>
      <w:r>
        <w:t>Bundesverwaltungsgericht, 2013-01-08, DE</w:t>
      </w:r>
    </w:p>
    <w:p>
      <w:r>
        <w:rPr>
          <w:b/>
        </w:rPr>
        <w:t xml:space="preserve">Quelle: </w:t>
      </w:r>
      <w:r>
        <w:t>https://mcp.opencaselaw.ch/entscheid/bvger_E-8422_2008</w:t>
      </w:r>
    </w:p>
    <w:p>
      <w:r>
        <w:t>FR: TAF E-8422/2008 du 8 janvier 2013</w:t>
      </w:r>
    </w:p>
    <w:p>
      <w:r>
        <w:t>IT: TAF E-8422/2008 del 8 gennaio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in casu nicht vor somit ist das Bundesverwaltungsgericht vorliegend letztinstanzlich zuständig.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hat im vorliegenden Fall die Flüchtlingseigenschaft der Beschwerdeführerin und ihrer Familie in Bezug auf ihren Heimatstaat Irak geprüft. Eine Prüfung, ob allenfalls der Iran - angesichts des jahrzehntelangen Aufenthalts dort - für die Beschwerdeführerin und ihre Familie als sicherer Drittstaat zu gelten hat (und somit auf das Asylgesuch gemäss Art. 34 AsylG nicht einzutreten gewesen wäre), ist seitens des BFM nicht erfolgt und ist demnach auch nicht Prozessgegenstand des vorliegenden Beschwerdeverfahrens.</w:t>
      </w:r>
    </w:p>
    <w:p>
      <w:r>
        <w:rPr>
          <w:b/>
        </w:rPr>
        <w:t>E. 4.2</w:t>
      </w:r>
    </w:p>
    <w:p>
      <w:r>
        <w:t>Nach Prüfung der Akten gelangt das Bundesverwaltungsgericht zum Schluss, dass die Frage, ob sich die geltend gemachte Familienfehde tatsächlich zugetragen hat, letztlich offen bleiben kann, denn die Vorbringen der Beschwerdeführerin und ihrer Familie entbehren grund­sätzlich jeglicher Asylrelevanz. Dass sie und ihre Familie eine im asylrechtlichen Kontext bedeutsame Verfolgung im Heimatland zu befürchten haben, wird aus der vorgetragenen Sachverhaltsdarstellung nicht ersichtlich. Eigenen Angaben zufolge hat sie allfällige Racheakte seitens [der verfeindeten Familie] lediglich aus privaten Gründen - (...) - zu befürchten. Selbst gemäss dem Fall, die zuständigen staatlichen Organe wären nicht gewillt, der Beschwerdeführerin und ihrer Familie gegen allfällige Nachstellungen seitens [der verfeindeten Familie] Schutz zu bieten respektive die angeblichen Drohungen könnten nicht zur Anzeige gebracht werden, könnte dies im asylrechtlichen Kontext nicht berücksichtigt werden, da lediglich eine private Familienfehde geltend gemacht wurde, welcher es am Erfordernis der flüchtlingsrechtlich relevanten Verfolgungsmotivation mangelt. Schliesslich vermögen auch die in der Beschwerdeschrift aufgeführten Gründe den Einwand der fehlenden Asylrelevanz nicht zu entkräften. Somit führt die angebliche blutige Familienauseinandersetzung als solche nicht bereits zur Annahme einer begründeten Furcht im oben erwähnten Sinne. Die Asylvorbringen sind nach dem Gesagten als nicht asylrelevant im Sinne von Art. 3 AsylG zu qualifizieren. Ob die geltend gemachte Familienfehde und allfällige Racheakte im Hinblick auf die Zulässigkeit des Wegweisungsvollzugs (Art. 3 der Konvention vom 4. November 1950 zum Schutze der Menschenrechte und Grundfreiheiten [EMRK, SR 0.101]) relevant wären, wäre nachfolgend unter der E. 6 zu erörtern.</w:t>
      </w:r>
    </w:p>
    <w:p>
      <w:r>
        <w:rPr>
          <w:b/>
        </w:rPr>
        <w:t>E. 5.1</w:t>
      </w:r>
    </w:p>
    <w:p>
      <w:r>
        <w:t>Lehnt das BFM das Asylgesuch ab oder tritt es darauf nicht ein, so verfügt es in der Regel die Wegweisung aus der Schweiz und ordnet den Vollzug an (Art. 44 Abs. 1 AsylG).</w:t>
      </w:r>
    </w:p>
    <w:p>
      <w:r>
        <w:rPr>
          <w:b/>
        </w:rPr>
        <w:t>E. 5.2</w:t>
      </w:r>
    </w:p>
    <w:p>
      <w:r>
        <w:t>Die Beschwerdeführerin besitzt keine Aufenthalts- oder Niederlas­sungs­bewilligung oder einen entsprechenden Anspruch, weshalb die Vorinstanz gestützt auf Art. 44 Abs. 1 AsylG zu Recht ihre Wegweisung verfügt hat (vgl.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und seiner Vorgängerorganisation Schweizerische Asylrekurskommission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 Demgegenüber genügen Hinweise auf blosse Eventualitäten und vage Möglichkeiten von Vollzugshindernissen nicht.</w:t>
      </w:r>
    </w:p>
    <w:p>
      <w:r>
        <w:rPr>
          <w:b/>
        </w:rPr>
        <w:t>E. 6.2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2011/7 E. 8, EMARK 2006 Nr. 6 E. 4.2 S. 54 ff.). Weil sich vorliegend der Vollzug der Wegweisung aus den nach­folgend auf­ge­zeigten Gründen als unzumutbar erweist, kann auf eine Erörterung der beiden anderen Kriterien - insbesondere der Zulässig­keit des Weg­wei­sungsvollzuges - verzichtet werden.</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6.3.2</w:t>
      </w:r>
    </w:p>
    <w:p>
      <w:r>
        <w:t>Den Akten ist zu entnehmen, dass es sich eigenen Angaben zufolge bei der Beschwerdeführerin um eine irakische Staatsangehörige kurdischer sowie arabischer Volkszugehörigkeit handelt, welche zwar in Bagdad geboren ist, jedoch bereits [im Kindsalter] zusammen mit ihren Eltern nach C._______, Iran, flüchtete, wo sie bis zum August 2006 lebte. Dies wird von der Vorinstanz auch nicht bestritten (vgl. Verfügung vom 9. September 2008, E. II Ziff. 2). Auch für das Bundesverwaltungsgericht überwiegen die Gründe, welche für einen glaubhaften langjährigen Aufenthalt der Beschwerdeführerin im Iran sprechen, zumal sich die in der angefochtenen Verfügung aufgeführten Ungereimtheiten in den Aussagen insbesondere auf die Ausreise aus dem Iran und die Einreise in den Irak beziehen und nicht die Frage des Aufenthalts der Beschwerdeführerin und ihrer Familie im Iran per se tangieren.</w:t>
      </w:r>
    </w:p>
    <w:p>
      <w:r>
        <w:rPr>
          <w:b/>
        </w:rPr>
        <w:t>E. 6.3.3</w:t>
      </w:r>
    </w:p>
    <w:p>
      <w:r>
        <w:t>Im hier interes­sierenden Zusammenhang hielt das Bundesverwal­tungsgericht in seinem Urteil BVGE 2008/12 fest, dass die Sicherheitslage im Zentralirak von einer weit verbreiteten Gewalt und signifikanter Instabilität gekennzeichnet ist. Die Region Bagdad gilt nach wie vor als Region mit einer sehr grossen Gewaltdichte. Gezielte Gewalttaten gegen Zivilisten, (Suizid-)Anschläge und Attentate sowie Entführungen und andere kriminelle Handlungen prägen den Alltag der Bevölkerung. Die Einordnung der Gewalthandlungen und Bedrohungsszenarien gestaltet sich insofern als äusserst schwierig und komplex, als einer Vielzahl von Akteuren eine ebenso grosse Zahl von potenziellen Opfern dieser Gewalthandlungen gegenübersteht. Interessen und Zielsetzungen der Akteure unterscheiden sich zum Teil massiv. Sie bewegen sich jedoch zunehmend entlang ethnischer, religiöser und tribaler Grenzen und scheinen zudem eng verknüpft mit der politischen Entwicklung im Land. Zwar kann man von einer gewissen Verbesserung der Sicherheitslage in den Regionen Bagdad und Anbar sowie von politisch zögerlichen Fortschritten ausgehen, welche jedoch nicht zur Wiederherstellung von Recht und Ordnung im Zentralirak geführt haben. Vielmehr widerspiegeln sich die Probleme auch in den Feststellungen, die im Hinblick auf den Justiz- und Sicherheitsapparat im Zentralirak zu treffen sind (vgl. BVGE 2008/12 E. 6.4 und 6.7 mit weiteren Hinweisen). Dass sich die Lage im Zentralirak seither in nachhaltiger und entscheidender Weise verbessert hätte, kann nicht bejaht werden. Vor dem Hintergrund dieser Lageanalyse kommt das Bundesverwaltungsgericht zum Schluss, dass sich im vorliegenden Fall der Wegweisungsvollzug als unzumutbar erweist. Der Umstand, dass sich sowohl die Eltern der Beschwerdeführerin als auch [Geschwisterteil], zu denen sie allerdings keinen Kontakt pflege (vgl. auch die protokollierten Aussagen ihrer Kinder, sie hätten weder die Grosseltern noch [den Geschwisterteil der Mutter] je gesehen, A19/10 S. 4 sowie B11/11 S. 4), in Bagdad aufhalten würden, vermag dabei die Zumutbarkeit des Wegweisungsvollzugs nicht zu begründen, da vielmehr in Abwägung aller sachverhaltsrelevanten Faktoren - namentlich die im Irak herrschende Gewaltsituation, die quasi lebenslange Abwesenheit der Beschwerdeführerin aus dem Irak, ihr Zivilstand (geschiedene muslimische Frau) und die fehlende Ausbildung - der Beschwerdeführerin eine Rückkehr nach Bagdad nicht zumutbar ist.</w:t>
      </w:r>
    </w:p>
    <w:p>
      <w:r>
        <w:rPr>
          <w:b/>
        </w:rPr>
        <w:t>E. 6.3.4</w:t>
      </w:r>
    </w:p>
    <w:p>
      <w:r>
        <w:t>Des Weiteren ist eine Aufenthaltsalternative im Nordirak für die Beschwerdeführerin zu verneinen, da die Anordnung des Wegweisungsvollzugs in eine der drei autonomen kurdischen Nordprovinzen Dohuk, Erbil und Suleimaniya insbesondere voraussetzt, dass die betreffende Person ursprünglich aus der Region stammt oder eine längere Zeit dort gelebt hat (vgl. hierzu BVGE 2008/5), was im Falle der Beschwerdeführerin nicht zutrifft, da sie aus Bagdad stammt und sich im August 2006 lediglich etwa 20 Tage in Dohuk aufgehalten hat.</w:t>
      </w:r>
    </w:p>
    <w:p>
      <w:r>
        <w:rPr>
          <w:b/>
        </w:rPr>
        <w:t>E. 6.3.5</w:t>
      </w:r>
    </w:p>
    <w:p>
      <w:r>
        <w:t>Nach dem Gesagten erweist sich der Wegweisungsvollzug somit als unzumutbar im Sinne des Art. 83 Abs. 4 AuG und die Beschwerdeführerin ist in der Schweiz vorläufig aufzunehmen (Art. 83 Abs. 1 AuG). Der Vorbehalt von Art. 83 Abs. 7 AuG kommt vorliegend nicht zum Zug.</w:t>
      </w:r>
    </w:p>
    <w:p>
      <w:r>
        <w:rPr>
          <w:b/>
        </w:rPr>
        <w:t>E. 7</w:t>
      </w:r>
    </w:p>
    <w:p>
      <w:r>
        <w:t>Vor dem Hintergrund obiger Erwägungen ist festzuhalten, dass die Vorinstanz die Flüchtlingseigenschaft der Beschwerdeführerin im Ergebnis zu Recht verneint und die Wegweisung korrekterweise angeordnet hat. In diesen Punkten ist die Beschwerde abzuweisen. Die Beschwerde ist allerding in Bezug auf den Vollzug der Wegweisung aus der Schweiz gutzuheissen. Die Ziffern 4 und 5 der vorinstanzlichen Verfügung vom 9. September 2008 sind aufzuheben und das BFM ist anzuweisen, die Beschwerdeführerin infolge Unzumutbarkeit des Wegweisungsvollzugs in der Schweiz vorläufig aufzunehmen (Art. 44 Abs. 2 AsylG; Art. 83 Abs. 1 und 4 AuG).</w:t>
      </w:r>
    </w:p>
    <w:p>
      <w:r>
        <w:rPr>
          <w:b/>
        </w:rPr>
        <w:t>E. 8.1</w:t>
      </w:r>
    </w:p>
    <w:p>
      <w:r>
        <w:t>Bei diesem Ausgang des Verfahrens wären die reduzierten Verfahrenskosten der Beschwerdefüh­rerin aufzuerlegen (Art. 63 Abs. 1 und 5 VwVG). Mit Verfügung des Bundesverwaltungsgericht vom 31. Oktober 2008 wurde das Gesuch um Gewährung der unentgeltlichen Rechtspflege im Sinne von Art. 65 Abs. 1 VwVG auf einen späteren Zeitpunkt verschoben. Das Gesuch um unentgeltliche Rechtspflege im Sinne von Art. 65 Abs. 1 VwVG ist gutzuheissen, nachdem die Rechtsbegehren nicht aussichtlos waren und sich in den Akten keine Hinweise darauf finden, dass die Beschwerdeführerin inzwischen (seit der Bestätigung der Fürsorgeabhängigkeit vom 7. Oktober 2008) nicht mehr bedürftig ist. Der geleistete Kostenvorschuss in der Höhe von Fr. 600.- ist der Beschwerdeführerin zu einem Drittel (Fr. 200.-) - die restlichen beiden Drittel werden dem Ex-Ehemann und der Tochter ausbezahlt - zurückzuerstatten.</w:t>
      </w:r>
    </w:p>
    <w:p>
      <w:r>
        <w:rPr>
          <w:b/>
        </w:rPr>
        <w:t>E. 8.2</w:t>
      </w:r>
    </w:p>
    <w:p>
      <w:r>
        <w:t>Der Beschwerdeführerin ist angesichts des hälftigen Obsiegens im Beschwerdeverfahren in Anwendung von Art. 64 Abs. 1 VwVG eine ermässigte Parteientschädigung für ihr erwachsene notwendige Vertretungskosten zuzusprechen (vgl. Art. 7 des Reglements vom 11. Dezember 2006 über die Kosten und Entschädigungen vor dem Bundesverwaltungsgericht [VGKE, SR 173.320.2]). Der Rechtsvertreter - der das Mandat erst im Laufe des Beschwerdeverfahrens übernommen und lediglich die Eingabe vom 26. Juni 2009 zu den Akten gereicht hat, welche sich zudem neben dem vorliegenden zugleich auf drei weitere Beschwerdeverfahren bezieht - hat keine Kostennote eingereicht. Der Aufwand lässt sich indessen aufgrund der Akten zuverlässig einschätzen und wird - für jedes der vier betroffenen Beschwerdeverfahren - auf je Fr. 250.- geschätzt, wobei dieser Betrag angesichts des nur teilweisen Obsiegens auf die Hälfte zu reduzieren ist. Das BFM ist demnach anzuweisen, der Beschwerdeführerin eine Parteientschädigung in der Höhe von Fr. 125.-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