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E-83/2018 vom 17. April 2018</w:t>
      </w:r>
    </w:p>
    <w:p>
      <w:r>
        <w:t>Bundesverwaltungsgericht, 2018-04-17, DE</w:t>
      </w:r>
    </w:p>
    <w:p>
      <w:r>
        <w:rPr>
          <w:b/>
        </w:rPr>
        <w:t xml:space="preserve">Quelle: </w:t>
      </w:r>
      <w:r>
        <w:t>https://mcp.opencaselaw.ch/entscheid/bvger_E-83_2018</w:t>
      </w:r>
    </w:p>
    <w:p>
      <w:r>
        <w:t>FR: TAF E-83/2018 du 17 avril 2018</w:t>
      </w:r>
    </w:p>
    <w:p>
      <w:r>
        <w:t>IT: TAF E-83/2018 del 17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Bereich des Ausländerrechts nach Art. 49 VwVG (vgl. BVGE 2014/26 E. 5).</w:t>
      </w:r>
    </w:p>
    <w:p>
      <w:r>
        <w:rPr>
          <w:b/>
        </w:rPr>
        <w:t>E. 3</w:t>
      </w:r>
    </w:p>
    <w:p>
      <w:r>
        <w:t>Die Vernehmlassung der Vorinstanz vom 15. März 2018 wurde dem Beschwerdeführer bisher noch nicht zur Kenntnis gebracht. Auf eine vorgängige Anhörung in diesem Zusammenhang kann angesichts des vorliegenden Verfahrensausgangs verzichtet werden (vgl. Art. 30 Abs. 2 Bst. c VwVG). Die Vernehmlassung ist dem Beschwerdeführer zusammen mit dem vorliegenden Urteil offenzulegen.</w:t>
      </w:r>
    </w:p>
    <w:p>
      <w:r>
        <w:rPr>
          <w:b/>
        </w:rPr>
        <w:t>E. 4</w:t>
      </w:r>
    </w:p>
    <w:p>
      <w:r>
        <w:t>In der Eingabe vom 21. Februar 2018 liess der Beschwerdeführer auf Aufforderung des Bundesverwaltungsgerichts in der Zwischenverfügung vom 12. Februar 2018 ausführen, dass er auf die Anfechtung der Ziffern 1 und 2 der Verfügung vom 20. Dezember 2017 verzichte und lediglich die Aufhebung der Ziffern 3 bis 5 dieses Entscheids beantrage. Somit sind die Dispositiv-Ziffern 1 und 2 der angefochtenen Verfügung (bezüglich Verneinung der Flüchtlingseigenschaft und Verweigerung des Asyls) in Rechtskraft erwachsen.</w:t>
      </w:r>
    </w:p>
    <w:p>
      <w:r>
        <w:rPr>
          <w:b/>
        </w:rPr>
        <w:t>E. 5.1</w:t>
      </w:r>
    </w:p>
    <w:p>
      <w:r>
        <w:t>Lehnt das Staatssekretariat das Asylgesuch ab oder tritt es darauf nicht ein, so verfügt es in der Regel die Wegweisung aus der Schweiz und ordnet den Vollzug an (Art. 44 AsylG).</w:t>
      </w:r>
    </w:p>
    <w:p>
      <w:r>
        <w:rPr>
          <w:b/>
        </w:rPr>
        <w:t>E. 5.2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5.3</w:t>
      </w:r>
    </w:p>
    <w:p>
      <w:r>
        <w:t>Betreffend den Antrag, es sei die Dispositivziffer 3 der angefochtenen Verfügung (Anordnung der Wegweisung als solche) aufzuheben, ist die Beschwerde demnach abzuweisen.</w:t>
      </w:r>
    </w:p>
    <w:p>
      <w:r>
        <w:rPr>
          <w:b/>
        </w:rPr>
        <w:t>E. 6.1</w:t>
      </w:r>
    </w:p>
    <w:p>
      <w:r>
        <w:t>Ist der Vollzug der Wegweisung nicht zulässig, nicht zumutbar oder nicht möglich, so regelt das SEM das Anwesenheitsverhältnis nach den gesetzlichen Bestimmungen über die vorläufige Aufnahme von Ausländerinnen und Ausländern (Art. 44 AsylG; Art. 83 Abs. 1 AuG [SR 142.20]). Der Beschwerdeführer bringt vor, aus B._______, Afghanistan, zu stammen. Im als Referenzurteil publizierten Entscheid D-5800/2016 vom 13. Oktober 2017 kommt das Bundesverwaltungsgericht in Bestätigung seiner bisherigen Rechtsprechung in BVGE 2011/7 zum Schluss, dass der Wegweisungsvollzug in diese Region auch heute noch unzumutbar ist (vgl. E. 7, insb. 7.6). Das SEM glaubt dem Beschwerdeführer jedoch nicht, dass er aus B._______ kommt; vielmehr geht es davon aus, dass er die Asylbehörden - in Verletzung seiner Mitwirkungspflicht - über seine Herkunft zu täuschen versucht habe. Es sei nicht Aufgabe des SEM nach allfälligen Wegweisungshindernissen an seinem tatsächlichen, von ihm nicht offengelegten Herkunftsort zu forschen.</w:t>
      </w:r>
    </w:p>
    <w:p>
      <w:r>
        <w:rPr>
          <w:b/>
        </w:rPr>
        <w:t>E. 6.2</w:t>
      </w:r>
    </w:p>
    <w:p>
      <w:r>
        <w:t>Im Asylverfahren - wie auch im übrigen Verwaltungsverfahren - gilt der Untersuchungsgrundsatz (Art. 12 VwVG i.V.m. Art. 6 AsylG). Dieser besagt, dass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(vgl. BVGE 2012/21 E. 5.1; Patrick L. Krauskopf/Katrin Emmenegger, in: Praxiskommentar zum Bundesgesetz über das Verwaltungsverfahren, Waldmann/Weissberger (Hrsg.) 2009, Art. 12 VwVG N 19 ff. und N 42, Alfred Kölz/Isabelle Häner/Martin Bertschi, Verwaltungsverfahren und Verwaltungsrechtspflege des Bundes, 3. Aufl., Zürich 2013, Rz. 1043 ff.). 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BVGE 2008/24 E. 7.2; BVGE 2007/21 E. 11.1).</w:t>
      </w:r>
    </w:p>
    <w:p>
      <w:r>
        <w:rPr>
          <w:b/>
        </w:rPr>
        <w:t>E. 6.2.1</w:t>
      </w:r>
    </w:p>
    <w:p>
      <w:r>
        <w:t>Die vom SEM für seine Zweifel an der geltend gemachten Herkunft des Beschwerdeführers angeführten Argumente vermögen nicht zu überzeugen. Zu seinen Angaben bezüglich seines Wohnortes in B._______ trug der Beschwerdeführer in der Anhörung präzisierend vor, die Strasse, an der er gewohnt habe, heisse "[zweite Adressangabe]"; "[erste Adressangabe]" sei die Haltestelle, an der ihr Haus liege (vgl. A19/17, F40 ff.). Nach Erkenntnissen des Gerichts gibt es in B._______ tatsächlich eine Bushaltestelle mit dem Namen "[erste Adressangabe]", die sich im Quartier "[erste Adressangabe]" befindet (vgl. Open Street Maps, B._______, abgerufen am 28. Februar 2018 unter: [URL]; Afghanistan Information Management Services (AIMS) Regional Office, B._______ City Map, 04.2007, abgerufen am 28. Februar 2018 unter: [URL]). Folglich sind die Vorbringen des Beschwerdeführers zu seinem Wohnort in B._______ nach Ansicht des Gerichts nicht unplausibel und vermögen damit noch keine Zweifel an seiner Herkunft zu begründen. Auch die von ihm ins Recht gelegte Tazkira spricht nicht gegen seine Herkunft aus Afghanistan. Zwar ist es tatsächlich so, dass dieses Dokument - wie vom SEM in seiner Vernehmlassung ausgeführt - nicht fälschungssicher ist, weswegen ihm nur ein verminderter Beweiswert zukommt. Es handelt sich jedoch um das in Afghanistan meist verbreitete Identitätspapier und damit um ein amtliches Dokument mit Fotografie, welches zum Zweck des Nachweises der Identität seines Inhabers ausgestellt wird. Folglich ist genau zu untersuchen, ob eine eingereichte Tazkira tatsächlich überzeugende Fälschungsmerkmale aufweist (vgl. BVGE 2013/30 E. 4.2.2). Die vom Beschwerdeführer gegen die Einwände des SEM gegenüber der von ihm eingereichten Tazkira angeführten Argumente - es handle sich um eine neu ausgestellte Kopie, auf der der aktuelle Zustand und damit auch die Tatsache, dass er verheiratet sei, nachgetragen worden sei - erscheinen vor dem Hintergrund der Erkenntnisse des Bundesverwaltungsgerichts nicht abwegig. Gemäss den konsultierten Quellen werden die bei der Ausstellung einer Tazkira benötigten Informationen beim jeweils zuständigen, lokalen "Population und Registration Office" in einem Hauptbuch registriert respektive archiviert, wobei Betroffene sich anhand dieser Einträge ihre Identität bestätigen lassen können. Ferner ist es gerade in den Provinzen nicht ausgeschlossen, dass sich eine im Ausland aufhaltende Person über Verwandte eine Tazkira ausstellen lassen kann (vgl. Landinfo, Temanotat Afghanistan: Tazkera, pass og andre ID-dokumenter, 24. April 2017, S. 10; Flüchtlingsrat Berlin, Stellungnahme zur Beschaffung einer neuen oder verlorenen afghanischen TAZKIRA vom Ausland aus, 8. Mai 2017, S. 1 f.; U.S. Department of State, Afghanistan Re-ciprocity Schedule - Identity Card, undatiert; The New York Times, For Afghans, Name and Birthdate Census Questions Are Not So Simple, 10. Dezember 2014). Dass der Schwiegervater des Beschwerdeführers, wie von letzterem vorgetragen, für diesen eine Abschrift der archivierten Version der Tazkira erstellen liess, auf der die aktuellen Gegebenheiten nachgetragen wurden, erscheint somit ebenfalls nicht unplausibel. Dem exakten Alter einer Person kommt in Afghanistan wohl tatsächlich nicht eine derart grosse Bedeutung zu, wie in Europa. Folglich ist die Diskrepanz von zwei bis drei Jahren zwischen dem vom Beschwerdeführer angegebenen und dem auf der Tazkira registrierten Alter noch kein genügendes Argument, um bei diesem Dokument von einer Fälschung und damit auch gleich von der Unglaubhaftigkeit der Herkunftsangabe des Beschwerdeführers auszugehen. Überdies ist gemäss den eingereichten Sendungsnachweisen (vgl. A13/8) anzunehmen, dass die Tazkira des Beschwerdeführers zunächst mit der [lokaler Postdienst] und von Islamabad, Pakistan, aus dann mit DHL in die Schweiz geschickt wurde. Vom roten Stempel, der auf der Rückseite des Couverts der [lokaler Postdienst] angebracht ist, lässt sich "(...)" entziffern. Es ist davon auszugehen, dass auf dem vollständigen Stempel B._______ vermerkt ist und die Sendung damit dort aufgegeben wurde. Vor diesem Hintergrund ist es nicht unwahrscheinlich, dass der Beschwerdeführer tatsächlich eine Verbindung zu B._______, Afghanistan, hat. Beim angeblichen Auslandaufenthalt des Beschwerdeführers in Pakistan könnte es sich tatsächlich um ein Missverständnis in der BzP gehandelt haben. So trug der Beschwerdeführer lediglich zu Beginn der BzP auf die Frage "Von wann bis wann haben Sie an diesem Ort, an dieser Adresse [in B._______] gewohnt?" vor, er habe von seiner Geburt bis zu seiner Ausreise nach Pakistan dort gelebt (vgl. A4/13, Rz. 2.01). Danach machte er nie mehr von sich aus geltend, sich zu einem anderen Zweck als zur Durchreise in Pakistan aufgehalten zu haben. Vielmehr dementierte er einen längeren Aufenthalt in jenem Land auf Nachfrage hin stets (A4/13, insb. Rz. 5; A19/17, F49 ff.). Ohnehin steht weder dieses Argument des SEM noch jenes bezüglich der Ungereimtheiten in den Ausführungen zur Überquerung der Grenze in C._______ in direktem Zusammenhang mit seinem Vorbringen, aus Afghanistan zu stammen.</w:t>
      </w:r>
    </w:p>
    <w:p>
      <w:r>
        <w:rPr>
          <w:b/>
        </w:rPr>
        <w:t>E. 6.2.2</w:t>
      </w:r>
    </w:p>
    <w:p>
      <w:r>
        <w:t>Aufgrund der Vorbringen des Beschwerdeführers und der von ihm eingereichten Beweismittel lässt sich allerdings ebenso wenig mit Gewissheit feststellen, ob er tatsächlich, wie von ihm behauptet, aus B._______ stammt. Unter diesen Umständen ist es aufgrund der Untersuchungspflicht der Asylbehörden Sache des SEM, die Herkunft des Beschwerdeführers mit geeigneten Mitteln weiter abzuklären. Da der Beschwerdeführer geltend machte, Afghanistan [mit über 30] Jahren verlassen zu haben und in den Iran geflohen zu sein (vgl. A4/13, Rz. 1.06, 2.05, 5.01; A19/17, F32 ff.), erscheint es nicht ausgeschlossen, dass eine Lingua-Analyse Aufschluss darüber geben kann, ob er tatsächlich in B._______, Afghanistan, oder in einem anderen Staat sozialisiert wurde. Sollte sich herausstellen, dass er tatsächlich in B._______, Afghanistan, hauptsozialisiert wurde, wäre nach erneuter einlässlicher Befragung des Beschwerdeführers und unter Beizug einschlägiger länderspezifischer Informationen sowie unter Berücksichtigung seiner gesundheitlichen Probleme allenfalls noch abzuklären, ob es plausibel erscheint, dass er im Iran tatsächlich nicht aufenthaltsberechtigt ist und damit zutreffenderweise nicht dorthin zurückkehren kann (vgl. Art. 31a Abs. 1 Bst. c AsylG).</w:t>
      </w:r>
    </w:p>
    <w:p>
      <w:r>
        <w:rPr>
          <w:b/>
        </w:rPr>
        <w:t>E. 7.1</w:t>
      </w:r>
    </w:p>
    <w:p>
      <w:r>
        <w:t>Gemäss Art. 61 Abs. 1 VwVG entscheidet das Bundesverwaltungsgericht in der Sache selbst oder weist diese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7.2</w:t>
      </w:r>
    </w:p>
    <w:p>
      <w:r>
        <w:t>Wie in E. 6 ausgeführt, ist es im vorliegenden Fall angezeigt, die Herkunft des Beschwerdeführers mit geeigneten Mitteln, namentlich mittels Lingua-Analyse, weiter abzuklären. Da sich diese Abklärungen voraussichtlich nicht mit geringem Aufwand durchführen lassen, erscheint eine Aufhebung der angefochtenen Verfügung und eine Rückweisung der Sache ans SEM gerechtfertigt.</w:t>
      </w:r>
    </w:p>
    <w:p>
      <w:r>
        <w:rPr>
          <w:b/>
        </w:rPr>
        <w:t>E. 8</w:t>
      </w:r>
    </w:p>
    <w:p>
      <w:r>
        <w:t>Die Beschwerde ist demnach gutzuheissen. Die vorinstanzliche Verfügung vom 20. Dezember 2017 ist aufzuheben und die Sache (samt Akten) im Sinne der Erwägungen zur Neubeurteilung ans SEM zurückzuweisen. Die Akten des Beschwerdeverfahrens sind dem SEM - mit der Bitte um umgehende Retournierung - zwecks kurzer Einsichtnahme zuzustellen.</w:t>
      </w:r>
    </w:p>
    <w:p>
      <w:r>
        <w:rPr>
          <w:b/>
        </w:rPr>
        <w:t>E. 9.1</w:t>
      </w:r>
    </w:p>
    <w:p>
      <w:r>
        <w:t>Bei diesem Ausgang des Verfahrens sind keine Kosten zu erheben (Art. 63 Abs. 1 VwVG).</w:t>
      </w:r>
    </w:p>
    <w:p>
      <w:r>
        <w:rPr>
          <w:b/>
        </w:rPr>
        <w:t>E. 9.2</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Die Rechtsvertreterin weist in ihrer Kostennote, eingereicht am 21. Februar 2018, bei einem Stundenansatz von Fr. 200.- und 5 Stunden einen Gesamtaufwand von Fr. 1'020.- (inkl. Mehrwertsteuer und Auslagen) aus. Dieser Aufwand erscheint unter Mitberücksichtigung der weiteren Eingabe vom 22. Februar 2018 angemessen. Der Stundenansatz von Fr. 200.- ist reglementskonform (vgl. Art.10 Abs. 2 VGKE) und auch der Aufwand von Fr. 20.- ist angemessen. Die Parteientschädigung zu Lasten des SEM ist demnach auf Fr. 1'020.-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