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E-8394/2007 vom 1. März 2011</w:t>
      </w:r>
    </w:p>
    <w:p>
      <w:r>
        <w:t>Bundesverwaltungsgericht, 2011-03-01, DE</w:t>
      </w:r>
    </w:p>
    <w:p>
      <w:r>
        <w:rPr>
          <w:b/>
        </w:rPr>
        <w:t xml:space="preserve">Quelle: </w:t>
      </w:r>
      <w:r>
        <w:t>https://mcp.opencaselaw.ch/entscheid/bvger_E-8394_2007</w:t>
      </w:r>
    </w:p>
    <w:p>
      <w:r>
        <w:t>FR: TAF E-8394/2007 du 1 mars 2011</w:t>
      </w:r>
    </w:p>
    <w:p>
      <w:r>
        <w:t>IT: TAF E-8394/2007 del 1 marzo 2011</w:t>
      </w:r>
    </w:p>
    <w:p>
      <w:pPr>
        <w:pStyle w:val="Heading2"/>
      </w:pPr>
      <w:r>
        <w:t>Regeste</w:t>
      </w:r>
    </w:p>
    <w:p>
      <w:r>
        <w:t>Aufhebung vorläufige Aufnahme (Asyl)</w:t>
      </w:r>
    </w:p>
    <w:p>
      <w:pPr>
        <w:pStyle w:val="Heading2"/>
      </w:pPr>
      <w:r>
        <w:t>Erwägungen</w:t>
      </w:r>
    </w:p>
    <w:p>
      <w:r>
        <w:rPr>
          <w:b/>
        </w:rPr>
        <w:t>E. 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Ausländerrechts betreffend vorläufige Aufnahme endgültig (Art. 83 Bst. c Ziff. 3 des Bundesgerichtsgesetzes vom 17. Juni 2005 [BGG, SR 173.110]).</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112 Abs. 1 des Bundesgesetzes vom 16. Dezember 2005 über die Ausländerinnen und Ausländer [AuG, SR 142.20] i.V.m. Art. 48 Abs. 1, Art. 50 und Art. 52 VwVG). Auf die Beschwerde ist einzutreten.</w:t>
      </w:r>
    </w:p>
    <w:p>
      <w:r>
        <w:rPr>
          <w:b/>
        </w:rPr>
        <w:t>E. 3</w:t>
      </w:r>
    </w:p>
    <w:p>
      <w:r>
        <w:t>Mit Beschwerde kann die Verletzung von Bundesrecht, die unrichtige oder unvollständige Feststellung des rechtserheblichen Sachverhalts und die Unangemessenheit gerügt werden (Art. 112 Abs. 1 AuG i.V.m. Art. 49 VwVG).</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5.1</w:t>
      </w:r>
    </w:p>
    <w:p>
      <w:r>
        <w:t>Die Voraussetzungen für die Aufhebung der vorläufigen Aufnahme werden seit dem 1. Januar 2008 in Art. 84 Abs. 2 AuG umschrieben. Davor wurde die vorläufige Aufnahme durch das ANAG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 sowie des AuG vorläufig aufgenommen waren, das neue Recht. Nachdem der Beschwerdeführer vom BFM mit Verfügung vom 10. April 2007 vorläufig aufgenommen wurde, ist aufgrund der genannten übergangsrechtlichen Regelung das Vorliegen der Voraussetzungen für die Aufhebung der vorläufigen Aufnahme nach neuem Recht - mithin nach Art. 84 Abs. 2 AuG - zu prüfen.</w:t>
      </w:r>
    </w:p>
    <w:p>
      <w:r>
        <w:rPr>
          <w:b/>
        </w:rPr>
        <w:t>E. 5.2</w:t>
      </w:r>
    </w:p>
    <w:p>
      <w:r>
        <w:t>Gemäss Art. 84 Abs. 1 AuG überprüft das Bundesamt nach erfolgter Anordnung einer vorläufigen Aufnahme periodisch, ob die Voraussetzungen für die vorläufige Aufnahme noch gegeben sind. Es hebt die vorläufige Aufnahme auf und ordnet den Vollzug der Weg- oder Ausweisung an, wenn die Voraussetzungen nicht mehr gegeben sind (Art. 84 Abs. 2 AuG).</w:t>
      </w:r>
    </w:p>
    <w:p>
      <w:r>
        <w:rPr>
          <w:b/>
        </w:rPr>
        <w:t>E. 5.3</w:t>
      </w:r>
    </w:p>
    <w:p>
      <w:r>
        <w:t>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Uebersax/Rudin/Hugi/Yar/Geiser, Ausländerrecht, 2. Auflage, Basel 2009, Rz. 11.148).</w:t>
      </w:r>
    </w:p>
    <w:p>
      <w:r>
        <w:rPr>
          <w:b/>
        </w:rPr>
        <w:t>E. 6.1.1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BFM wies in der angefochtenen Verfügung zutreffend darauf hin, dass der Grundsatz der Nichtrückschiebung nur Personen schützt, die die Flüchtlingseigenschaft erfüllen. Mit unangefochten gebliebener und somit in Rechtskraft erwachsener Verfügung vom 10. April 2007 wurde festgestellt, dass der Beschwerdeführer die Flüchtlingseigenschaft gemäss Art. 3 und 7 AsylG infolge Unglaubhaftigkeit seiner Vorbringen nicht erfüllt, weshalb gestützt auf Art. 32 Abs. 2 Bst. a AsylG auf das Asylgesuch nicht eingetreten wurde. Entgegen der Auffassung des Beschwerdeführers hat die Vorinstanz somit - trotz der Bezeichnung von Art. 32 Abs. 2 lit. a als "Nichteintretensentscheid" - in einem Summarverfahren über das Nichtbestehen der Flüchtlingseigenschaft abschliessend materiell befunden (vgl. Entscheide des Schweizerischen Bundesverwaltungsgerichts [BVGE] 2007/8). Folglich kann das in Art. 5 AsylG verankerte Prinzip des flüchtlingsrechtlichen Non-Refoulements im vorliegenden Verfahren keine Anwendung finden. Eine Rückkehr des Beschwerdeführers in den Nordirak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Weder aus den Aussagen des Beschwerdeführers noch aus den Akten ergeben sich Anhaltspunkte dafür, dass er für den Fall einer Rückkehr in den Nordirak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ihm indessen nicht gelungen. Zunächst ist diesbezüglich festzustellen, dass die allgemeine Sicherheits- und Menschenrechtslage im kurdischen Nordirak den Wegweisungsvollzug im heutigen Zeitpunkt - wie von der Vorinstanz zu Recht festgehalten - nicht als unzulässig erscheinen lässt (vgl. BVGE 2008/4 E. 6.2 S. 42 ff. und E. 6.6 S. 46). Im Weiteren hat die Vorinstanz bereits mit Verfügung vom 10. April 2007 die Asylvorbringen des Beschwerdeführers aufgrund von Widersprüchlichkeiten und fehlenden Realitätskennzeichen als unglaubhaft erkannt (siehe dort E. 2. S. 3). Die im Beschwerdeverfahren nachgereichten Beweismittel vermögen an dieser Einschätzung nichts zu ändern, zumal sie eine Verfolgung des Beschwerdeführers wegen Blutrache durch die Familie des verstorbenen Jungen nicht zu belegen vermögen. Im Sinne einer Ergänzung ist in Übereinstimmung mit der Vorinstanz festzuhalten, dass in Bezug auf die drei kurdischen Nordprovinzen von einer funktionierenden Schutz-Infrastruktur gesprochen werden kann und die kurdischen Behörden grundsätzlich willens sind, den Einwohnern der genannten Provinzen Schutz vor allfälliger Verfolgung zu gewähren (vgl. a.a.O. E. 6.7 S. 52), weshalb es dem Beschwerdeführer - selbst wenn von der Glaubhaftigkeit seiner Asylvorbringen ausgegangen würde - möglich und zumutbar wäre, die nordirakischen Sicherheitsbehörden um Schutz zu ersuchen. Die geltend gemachte Furcht des Beschwerdeführers vor Blutrache ist demzufolge auch nicht geeignet, den Wegweisungsvollzugs als unzulässig erscheinen zu lassen.</w:t>
      </w:r>
    </w:p>
    <w:p>
      <w:r>
        <w:rPr>
          <w:b/>
        </w:rPr>
        <w:t>E. 6.1.3</w:t>
      </w:r>
    </w:p>
    <w:p>
      <w:r>
        <w:t>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6.2.1</w:t>
      </w:r>
    </w:p>
    <w:p>
      <w:r>
        <w:t>Das Bundesverwaltungsgericht geht - wie bereits erwähnt - gemäss seiner Praxis davon aus, dass in den drei kurdischen Provinzen Dohuk, Erbil und Sulaymaniya keine Situation allgemeiner Gewalt herrscht und die dortige politische Lage nicht dermassen angespannt ist, dass eine Rückführung dorthin generell als unzumutbar betrachtet werden müsste (vgl. a.a.O. E. 7.5.8 S. 72). Zusammenfassend wird im erwähnten Entscheid festgehalten, dass die Anordnung des Wegweisungsvollzugs in der Regel für alleinstehende, gesunde und junge kurdische Männer, die ursprünglich aus einer der drei kurdischen Provinzen stammen oder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(a.a.O.).</w:t>
      </w:r>
    </w:p>
    <w:p>
      <w:r>
        <w:rPr>
          <w:b/>
        </w:rPr>
        <w:t>E. 6.2.2</w:t>
      </w:r>
    </w:p>
    <w:p>
      <w:r>
        <w:t>Die Sicherheitssituation in den drei kurdischen Provinzen hat sich seit Publikation des erwähnten Urteils nicht verschlechtert. In der überwiegenden Mehrheit der Berichte von Regierungs- und Nicht­regierungsorganisationen sowie des UN-Sicherheitsrats wird eine insgesamt stabile Situation beschrieben (vgl. dazu UK Home Office, Country of Origin Information Report: Kurdistan Regional Government Area of Iraq, 16. September 2009, S. 32 ff.). Die SFH bezeichnet die Sicherheitslage im Nordirak als "vergleichsweise friedlich und stabil" (Michael Kirschner, SFH, Irak, Update: Aktuelle Entwicklungen, 14. August 2008, Ziff. 3.1, S. 9). Zwar hat das türkische Militär in den Jahren 2007 und 2008 - wie vom Beschwerdeführer auf Beschwerdeebene vorgebracht - eine Offensive gegen PKK-Stellungen im Nordirak geführt, die allgemeine Sicherheitslage wurde dadurch jedoch nicht beeinflusst (vgl. a.a.O.). Auch das UNHCR bestätigt in einem aktuellen Bericht von Juli 2010 die relativ stabile Sicherheitslage in den drei kurdischen Provinzen (vgl. Unhcr, Note on the Continued Applicability of the April 2009 UNHCR Eligibility Guidelines for Assessing the International Protection Needs of Iraqi Asylum-Seekers, Juli 2010, S. 2). Die Vorbringen des Beschwerdeführers betreffend die allgemeine Sicherheitslage im Nordirak vermögen demnach den Wegweisungsvollzug nicht als unzumutbar erscheinen zu lassen.</w:t>
      </w:r>
    </w:p>
    <w:p>
      <w:r>
        <w:rPr>
          <w:b/>
        </w:rPr>
        <w:t>E. 6.2.3</w:t>
      </w:r>
    </w:p>
    <w:p>
      <w:r>
        <w:t>Der Beschwerdeführer ist ein junger, alleinstehender Mann ohne aktenkundige gesundheitliche Probleme. Er ist kurdischer Ethnie und Sprache und hat bis zur Ausreise bei seinen Eltern in der Stadt Dohuk gewohnt. Seine fünf Geschwister leben ebenfalls in Dohuk. Bis zur Ausreise hat er die Schule besucht und gelegentlich im (...) Laden einer seiner Brüder gearbeitet. In der Schweiz ist der Beschwerdeführer seit August 2007 erwerbstätig. Unter diesen Umständen ist davon auszugehen, dass es ihm gelingen wird, sich in seiner Heimatregion innert nützlicher Frist eine wirtschaftliche Existenzgrundlage aufzubauen. Zur Überbrückung allfälliger Anfangsschwierigkeiten kann er beim BFM Rückkehrhilfe beantragen. Es ist demnach nicht davon auszugehen, dass er bei seiner Rückkehr in die Heimatstadt aus individuellen Gründen wirtschaftlicher, sozialer oder gesundheitlicher Natur in eine existenzbedrohende Situation geraten würde.</w:t>
      </w:r>
    </w:p>
    <w:p>
      <w:r>
        <w:rPr>
          <w:b/>
        </w:rPr>
        <w:t>E. 6.2.4</w:t>
      </w:r>
    </w:p>
    <w:p>
      <w:r>
        <w:t>Nach dem Gesagten erweist sich der Vollzug der Wegweisung sowohl aufgrund der allgemeinen Sicherheitslage in den drei kurdischen Provinzen als auch in individueller Hinsicht als zumutbar.</w:t>
      </w:r>
    </w:p>
    <w:p>
      <w:r>
        <w:rPr>
          <w:b/>
        </w:rPr>
        <w:t>E. 6.3</w:t>
      </w:r>
    </w:p>
    <w:p>
      <w:r>
        <w:t>Schliesslich obliegt es dem Beschwerdeführer aufgrund seiner Mitwirkungspflicht, sich bei der zuständigen Vertretung des Heimatstaates die für eine Rückkehr notwendigen Reisedokumente zu beschaffen, weshalb der Vollzug der Wegweisung auch als möglich zu bezeichnen ist (Art. 83 Abs. 2 AuG).</w:t>
      </w:r>
    </w:p>
    <w:p>
      <w:r>
        <w:rPr>
          <w:b/>
        </w:rPr>
        <w:t>E. 7</w:t>
      </w:r>
    </w:p>
    <w:p>
      <w:r>
        <w:t>Insgesamt ist die durch die Vorinstanz verfügte Aufhebung der vorläufigen Aufnahme zu bestätigen. Die Vorinstanz hat den Vollzug der Wegweisung zu Recht als zulässig, zumutbar und möglich erachtet. Es erübrigt sich, auf die weiteren Ausführungen in der Eingabe des Beschwerdeführers einzugehen, da sie an dieser Würdigung nichts zu ändern vermögen.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Das mit Zwischenverfügung vom 17. Dezember 2007 auf einen späteren Zeitpunkt verschobene Gesuch um unentgeltliche Rechtspflege im Sinne von Art. 65 Abs. 1 VwVG ist abzuweisen, da der Beschwerdeführer seit längerer Zeit einer Erwerbstätigkeit nachgeht und nicht von dessen Bedürftigkeit auszugehen ist. Demzufolge sind die Kosten des Verfahrens in der Höhe von Fr. 600.- dem Beschwerdeführer aufzuerlegen (Art. 63 Abs. 1 VwVG sowie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