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E-838/2016 vom 16. Februar 2016</w:t>
      </w:r>
    </w:p>
    <w:p>
      <w:r>
        <w:t>Bundesverwaltungsgericht, 2016-02-16, DE</w:t>
      </w:r>
    </w:p>
    <w:p>
      <w:r>
        <w:rPr>
          <w:b/>
        </w:rPr>
        <w:t xml:space="preserve">Quelle: </w:t>
      </w:r>
      <w:r>
        <w:t>https://mcp.opencaselaw.ch/entscheid/bvger_E-838_2016</w:t>
      </w:r>
    </w:p>
    <w:p>
      <w:r>
        <w:t>FR: TAF E-838/2016 du 16 février 2016</w:t>
      </w:r>
    </w:p>
    <w:p>
      <w:r>
        <w:t>IT: TAF E-838/2016 del 16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 Verletzung des Akteneinsichtsrechts. Sie bringt vor, im Rahmen der Akteneinsicht seien nicht alle Akten offengelegt worden. So sei die Einsicht in die Akten A20, A24 und A63 verweigert worden. Bei anderen Akten könne man die Aktennummer nicht lesen und es sei am Rand ein Teil des Dokumentes abgeschnitten worden (z.B. bei A8). Beim Dokument A17, das im Aktenverzeichnis mit "Verfristungsschreiben" erwähnt sei, sei unklar, um was es sich handle. Die Rüge geht fehl. Bei den vorinstanzlichen Akten A20, A24 und A63 handelt es sich, wie im Übrigen aus den Aktenverzeich­nis deutlich hervorgeht, um die nicht anonymisierten Versionen der Akten A21, A25 und A64, welche der Beschwerdeführerin vorliegen. Auf Akteneinsicht in die nicht anonymisierten Dokumente besteht wegen überwiegenden öffentlichen Interesses kein Anrecht. Was die vorinstanzliche Akte A17 anbelangt, so wurde diese im Aktenverzeichnis, unter Berücksichtigung des Kontextes im Dublin-Verfahren, korrekt unter dem Titel "Verfristungsschreiben" aufgenommen. Aus dem Inhalt des Dokumentes geht schliesslich auch klar hervor, um was es sich handelt. Bei der Akte A8 handelt es sich um die Akten des EVZ Kreuzlingen, die vorliegend nicht rechtserheblich sind. Der Vollständigkeit halber wird der Beschwerdeführerin die vorinstanzliche Akte A8 (in Kopie) mit dem vorliegenden Entscheid nochmals zugestellt. Zusammenfassend wurde das Akteneinsichtsrecht von der Vorinstanz korrekt gewährt. Das rechtliche Gehör ist nicht verletzt. Der An­trag auf Beschwerdeergänzung ist abzuweisen.</w:t>
      </w:r>
    </w:p>
    <w:p>
      <w:r>
        <w:rPr>
          <w:b/>
        </w:rPr>
        <w:t>E. 3.2</w:t>
      </w:r>
    </w:p>
    <w:p>
      <w:r>
        <w:t>Die Beschwerdeführerin macht weiter geltend, die in den Akten befindlichen Fingerabdrücke seien nicht die ihrigen. Ohne Kommentar solche Fingerabdrücke in den Akten abzulegen, sei eine Verletzung des rechtlichen Gehörs. Bei den sich in den Akten befindlichen Fingerabdrücken handelt es sich offensichtlich um die Fingerabdrücke der Beschwerdeführerin. Diese wurden dem an Bulgarien gerichteten Übernahmeersuchen angehängt (SEM-Akten, A11/3). Worin die Verletzung des rechtlichen Gehörs bestehen soll, wird von der Beschwerdeführerin mit keinem Wort substantiiert. Eine Verletzung ist auch nicht ersichtlich.</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führt in der angefochtenen Verfügung aus, eigenen Angaben zufolge sei die Beschwerdeführerin in Bulgarien illegal in das Hoheitsgebiet der Dublin-Staaten eingereist sei. Die bulgarischen Behörden hätten auf das Ersuchen der Schweiz um Übernahme der Beschwerdeführerin und ihres Kindes innert Frist keine Stellung genommen. Die Zuständigkeit für die Durchführung des Asyl- und Wegweisungsverfahrens liege somit bei Bulgarien. Der implizit geäusserte Wunsch der Beschwerdeführerin nach einem Verbleib in der Schweiz habe keinen Einfluss auf die Zuständigkeit. Auf die Asylgesuche ihres Mannes und ihrer weiteren Kinder sei ebenfalls nicht eingetreten worden und diese seien ebenfalls nach Bulgarien weggewiesen worden. Es sei nicht davon auszugehen, dass sie und ihr Kind bei einer Überstellung nach Bulgarien im Sinne von Art. 3 Abs. 2 Dublin-III-VO und Art. 3 EMRK gravierenden Menschenrechtsverletzungen ausgesetzt wären, in eine existenzielle Notlage geraten würden oder ohne Prüfung ihres Asylgesuchs und unter Verletzung des Non-Refoulement-Gebots in ihr Heimatland überstellt werden würden. Für eine Anwendung der Souveränitätsklausel würden keine Gründe vorliegen.</w:t>
      </w:r>
    </w:p>
    <w:p>
      <w:r>
        <w:rPr>
          <w:b/>
        </w:rPr>
        <w:t>E. 5.2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5.2.1</w:t>
      </w:r>
    </w:p>
    <w:p>
      <w:r>
        <w:t>Die Beschwerdeführerin bringt vor, es stimme nicht, dass Bulgarien für die Prüfung des Asylgesuchs zuständig sei. Die schweizerischen Behörden hätten Bulgarien unzutreffend mitgeteilt, Bulgarien sei zuständig. Es werde bezweifelt, dass Bulgarien der Übernahme von B._______ zugestimmt habe. Die Zustimmung der Übernahme sei nicht nachvollziehbar. Ausserdem stimme nicht, dass sie in Bulgarien registriert worden sei. Die Vorinstanz behauptet gar nicht, dass die Beschwerdeführerin in Bulgarien registriert worden sei, sondern führt korrekt aus, dass die Beschwerdeführerin in der Befragung ausführt, sie sei via Bulgarien in die Schweiz eingereist (SEM-Akten, A5/13 S. 7). Die schweizerischen Behörden stellten sodann am 15. Juni 2015 ein Übernahmegesuch an Bulgarien, welches von Bulgarien innert Frist nicht beantwortet worden ist. Die Vor­instanz ist somit in Anwendung von Art. 13 Abs. 1 Dublin-III-VO zutreffend von der grundsätzlichen Zuständigkeit Bulgariens für die Durchführung des Asyl- und Wegweisungsverfahrens ausgegangen. Dass Bulgarien die Übernahmeersuchen nachträglich noch guthiess, hat vorliegend keine Bewandtnis.</w:t>
      </w:r>
    </w:p>
    <w:p>
      <w:r>
        <w:rPr>
          <w:b/>
        </w:rPr>
        <w:t>E. 5.2.2</w:t>
      </w:r>
    </w:p>
    <w:p>
      <w:r>
        <w:t>Die Beschwerdeführerin bringt weiter vor, Bulgarien sei nicht in der Lage, sie zu ernähren, ihnen Obdach zu bieten und sie medizinisch zu versorgen.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die Beschwerdeführerin oder ihr Kind einer menschenunwürdigen oder erniedrigenden Behandlung ausgesetzt wäre (Art. 3 EMRK). Systemische Mängel liegen im bulgarischen Asyl- und Aufnahmeverfahren keine vor; Art. 3 Abs. 2 Satz 2 Dublin-III-VO greift nicht.</w:t>
      </w:r>
    </w:p>
    <w:p>
      <w:r>
        <w:rPr>
          <w:b/>
        </w:rPr>
        <w:t>E. 5.2.3</w:t>
      </w:r>
    </w:p>
    <w:p>
      <w:r>
        <w:t>Weiter bringt die Beschwerdeführerin medizinische Probleme vor. Ihr Kind habe am 8. Februar 2016 eine Mandeloperation. Dazu reichte sie ein ärztliches Zeugnis des Spitals (...) ein, wonach in den ersten drei Wochen nach der Operation des Kindes das Risiko einer lebensbedrohlichen Nachblutung bestehe. Dazu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Solches ist vorliegend nicht gegeben. Sodann tragen die mit dem Vollzug der angefochtenen Verfügung beauftragten Schweizer Behörden Problemen von verletzlichen Personen bei der Überstellung Rechnung. Diese beziehen sich einerseits auf die medizinische Behandlung hier in der Schweiz sowie eine damit verbundene gezielte Vorbereitung auf die Rückführung. Das Risiko einer lebensbedrohlichen Nachblutung kann von den Überstellungsbehörden mit einer Anpassung des Überstellungszeitpunktes ausgeschlossen werden. Sodann wird die Vorinstanz, wie in der angefochtenen Verfügung dargelegt, die bulgarischen Behörden vor der geplanten Überstellung über allfällige gesundheitliche Probleme informieren (vgl. Art. 32 Dublin-III-VO). In Bulgarien wiederum stehen ausreichende medizinische Infrastrukturen zur Verfügung.</w:t>
      </w:r>
    </w:p>
    <w:p>
      <w:r>
        <w:rPr>
          <w:b/>
        </w:rPr>
        <w:t>E. 5.2.4</w:t>
      </w:r>
    </w:p>
    <w:p>
      <w:r>
        <w:t>Den Vorbringen der Beschwerdeführerin, die Vorinstanz handle rechtsmissbräuchlich, verstosse gegen Treu und Glauben und der Nichteintretensentscheid sei verspätet gefällt worden, fehlt es schliesslich an jeglicher Grundlage und Substantiiertheit.</w:t>
      </w:r>
    </w:p>
    <w:p>
      <w:r>
        <w:rPr>
          <w:b/>
        </w:rPr>
        <w:t>E. 5.3</w:t>
      </w:r>
    </w:p>
    <w:p>
      <w:r>
        <w:t>Die Vorinstanz ist somit zutreffend von der Zuständigkeit Bulgariens ausgegangen und in Anwendung Art. 31a Abs. 1 Bst. b AsylG auf das Asylgesuch der Beschwerdeführerin und ihres Kindes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 Mit dem vorliegenden Urteil ist der Antrag auf Gewährung der aufschiebenden Wirkung sowie der Antrag, die Vollzugsbehörden seien anzuweisen, von Vollzugshandlungen abzusehen, gegenstandslos geworden.</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 ihr Begehren als aussichtslos zu gelten hat, kann dem Gesuch um Gewährung der unentgeltlichen Rechtspflege sowie dem Gesuch um Beiordnung eines amtlichen Rechtsbeistandes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