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E-834/2016 vom 16. Februar 2016</w:t>
      </w:r>
    </w:p>
    <w:p>
      <w:r>
        <w:t>Bundesverwaltungsgericht, 2016-02-16, DE</w:t>
      </w:r>
    </w:p>
    <w:p>
      <w:r>
        <w:rPr>
          <w:b/>
        </w:rPr>
        <w:t xml:space="preserve">Quelle: </w:t>
      </w:r>
      <w:r>
        <w:t>https://mcp.opencaselaw.ch/entscheid/bvger_E-834_2016</w:t>
      </w:r>
    </w:p>
    <w:p>
      <w:r>
        <w:t>FR: TAF E-834/2016 du 16 février 2016</w:t>
      </w:r>
    </w:p>
    <w:p>
      <w:r>
        <w:t>IT: TAF E-834/2016 del 16 febbraio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Der Rechtsvertreter des Beschwerdeführers rügt eine Verletzung des rechtlichen Gehörs in Form des Akteneinsichtsrechts. Er habe die Vor­instanz bei Mandatsübernahme gebeten, ihm vor Entscheidfällung die Akten zuzustellen. Die Vorinstanz habe geantwortet, dass die beantragte Akteneinsicht einstweilen nach Datenschutz gewährt werde und nach Abschluss der Untersuchung erneut auf das Gesuch zurückgekommen werde, was nicht geschehen sei. Ausserdem seien ihm die Akten A58 und A65 nicht zugestellt worden. Die Rüge geht fehl. Das beantragte Akteneinsichtsrecht wurde von der Vor­instanz mit Schreiben vom 10. November 2015 vollumfänglich gewährt. Aus dem Schreiben der Vorinstanz geht nicht hervor, dass das Gesuch nur einstweilen gewährt worden sei oder dass auf das Gesuch zurückgekom­men werde. Dabei handelt es sich um eine offensichtlich tatsachenwidrige Behauptung des mandatierten Rechtsvertreters. Bei den vorinstanzlichen Akten A58 und A65 handelt es sich, wie im Übrigen aus den Aktenverzeich­nis deutlich hervorgeht, um die nicht anonymisierten Versionen der Akten A66 und A59, welche dem Beschwerdeführer vorliegen. Auf Akteneinsicht in die nicht anonymisierten Dokumente besteht wegen überwiegenden öffentlichen Interesses kein Anrecht. Das Akteneinsichtsrecht wurde von der Vorinstanz korrekt gewährt. Das rechtliche Gehör ist nicht verletzt. Der An­trag auf Beschwerdeergänzung ist abzuweisen.</w:t>
      </w:r>
    </w:p>
    <w:p>
      <w:r>
        <w:rPr>
          <w:b/>
        </w:rPr>
        <w:t>E. 4.1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4.2</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4.3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Vorinstanz führt in der angefochtenen Verfügung aus, ein Abgleich der Fingerabdrücke mit der Zentraleinheit Eurodac habe ergeben, dass der Beschwerdeführer am 27. August 2015 illegal in das Hoheitsgebiet der Dublin-Staaten eingereist sei. Die bulgarischen Behörden hätten das Ersuchen der Schweiz um Übernahme des Beschwerdeführers und seiner Kinder gestützt auf Art. 13 Abs. 1 Dublin-III-VO gutgeheissen. Die Zuständigkeit für die Durchführung des Asyl- und Wegweisungsverfahrens liege somit bei Bulgarien. Sein Wunsch nach einem Verbleib in der Schweiz habe keinen Einfluss auf die Zuständigkeit. Ausserdem sei auf die Asylgesuche seiner Frau und seines Kindes E._______ ebenfalls nicht eingetreten worden und diese seien ebenfalls nach Bulgarien weggewiesen worden. Es sei nicht davon auszugehen, dass er und seine Kinder bei einer Überstellung nach Bulgarien im Sinne von Art. 3 Abs. 2 Dublin-III-VO und Art. 3 EMRK gravierenden Menschenrechtsverletzungen ausgesetzt wären, in eine existenzielle Notlage geraten würden oder ohne Prüfung ihres Asylgesuchs und unter Verletzung des Non-Refoulement-Gebots in ihr Heimatland überstellt werden würden. Für eine Anwendung der Souveränitätsklausel würden keine Gründe vorliegen.</w:t>
      </w:r>
    </w:p>
    <w:p>
      <w:r>
        <w:rPr>
          <w:b/>
        </w:rPr>
        <w:t>E. 5.2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w:t>
      </w:r>
    </w:p>
    <w:p>
      <w:r>
        <w:rPr>
          <w:b/>
        </w:rPr>
        <w:t>E. 5.2.1</w:t>
      </w:r>
    </w:p>
    <w:p>
      <w:r>
        <w:t>Der Beschwerdeführer bringt vor, es stimme nicht, dass Bulgarien für die Prüfung des Asylgesuchs zuständig sei. Er sei unterwegs nur einmal kontrolliert worden und wisse nicht mehr, ob ihm damals Fingerabdrücke genommen worden seien. Deswegen könne er nicht nach Bulgarien zurückgeschickt werden. Dass er registriert worden sei, sei eine unbewiesene Behauptung. Weiter werde bezweifelt, dass Bulgarien der Überstellung zugestimmt habe. Aus den Akten gehe dies nicht nachvollziehbar hervor. Aus den Akten geht hervor, dass die bulgarischen Behörden der Überstellung sowohl des Beschwerdeführers als auch (wiedererwägungsweise) seiner Kinder zugestimmt haben (SEM-Akten, A59/1 und A66/1). Ebenfalls geht aus dem Eurodac-Datenblatt hervor, dass der Beschwerdeführer am 27. August 2015 in Bulgarien aufgegriffen wurde (SEM-Akten, A36/1). Die Vorinstanz ist somit in Anwendung von Art. 13 Abs. 1 Dublin-III-VO zutreffend von der grundsätzlichen Zuständigkeit Bulgariens für die Durchführung des Asyl- und Wegweisungsverfahrens ausgegangen.</w:t>
      </w:r>
    </w:p>
    <w:p>
      <w:r>
        <w:rPr>
          <w:b/>
        </w:rPr>
        <w:t>E. 5.2.2</w:t>
      </w:r>
    </w:p>
    <w:p>
      <w:r>
        <w:t>Der Beschwerdeführer bringt weiter vor, Bulgarien sei nicht in der Lage, sie zu ernähren, ihnen Obdach zu bieten und sie medizinisch zu versorgen. Bulgarien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Bulgarien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Es liegen keine Anhaltspunkte dafür vor, dass Bulgarien im vorliegenden Fall seine staatsvertraglichen Verpflichtungen missachten würde und der Beschwerdeführer oder seine Kinder einer menschenunwürdigen oder erniedrigenden Behandlung ausgesetzt wäre (Art. 3 EMRK). Systemische Mängel liegen im bulgarischen Asyl- und Aufnahmeverfahren keine vor; Art. 3 Abs. 2 Satz 2 Dublin-III-VO greift nicht.</w:t>
      </w:r>
    </w:p>
    <w:p>
      <w:r>
        <w:rPr>
          <w:b/>
        </w:rPr>
        <w:t>E. 5.2.3</w:t>
      </w:r>
    </w:p>
    <w:p>
      <w:r>
        <w:t>Weiter bringt der Beschwerdeführer medizinische Probleme vor. Er selbst habe seit vielen Jahrzehnten Nierenprobleme und seine Kinder hätten am 8. Februar 2016 eine Mandeloperation. Dazu reichte er ein ärztliches Zeugnis des Spitals (...) ein, wonach in den ersten drei Wochen nach der Operation der Kinder das Risiko einer lebensbedrohlichen Nachblutung bestehe. Dazu ist festzuhalten, dass eine zwangsweise Rückweisung von Personen mit gesundheitlichen Problemen nur dann einen Verstoss gegen Art. 3 EMRK darstellt, wenn die betroffene Person sich in einem fortgeschrittenen oder terminalen Krankheitsstadium und bereits in Todesnähe befindet (BVGE 2011/9 E. 7). Solches ist vorliegend nicht gegeben. Sodann tragen die mit dem Vollzug der angefochtenen Verfügung beauftragten Schweizer Behörden Problemen von verletzlichen Personen bei der Überstellung Rechnung. Diese beziehen sich einerseits auf die medizinische Behandlung hier in der Schweiz sowie eine damit verbundene gezielte Vorbereitung auf die Rückführung. Das Risiko einer lebensbedrohlichen Nachblutung kann von den Überstellungsbehörden mit einer Anpassung des Überstellungszeitpunktes ausgeschlossen werden. Sodann wird die Vorins9kitanz, wie in der angefochtenen Verfügung dargelegt, die bulgarischen Behörden vor der geplanten Überstellung über allfällige gesundheitliche Probleme informieren (vgl. Art. 32 Dublin-III-VO). In Bulgarien wiederum stehen ausreichende medizinische Infrastrukturen zur Verfügung.</w:t>
      </w:r>
    </w:p>
    <w:p>
      <w:r>
        <w:rPr>
          <w:b/>
        </w:rPr>
        <w:t>E. 5.2.4</w:t>
      </w:r>
    </w:p>
    <w:p>
      <w:r>
        <w:t>Dem Vorbringen des Beschwerdeführers, die Vorinstanz handle rechtsmissbräuchlich, fehlt es schliesslich an jeglicher Grundlage.</w:t>
      </w:r>
    </w:p>
    <w:p>
      <w:r>
        <w:rPr>
          <w:b/>
        </w:rPr>
        <w:t>E. 5.3</w:t>
      </w:r>
    </w:p>
    <w:p>
      <w:r>
        <w:t>Die Vorinstanz ist somit zutreffend von der Zuständigkeit Bulgariens ausgegangen und in Anwendung Art. 31a Abs. 1 Bst. b AsylG auf das Asylgesuch des Beschwerdeführers und seiner Kinder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6</w:t>
      </w:r>
    </w:p>
    <w:p>
      <w:r>
        <w:t>Zusammenfassend verletzt die angefochtene Verfügung kein Bundesrecht und ist auch sonst nicht zu beanstanden (Art. 106 AsylG). Die Beschwerde ist abzuweisen. Mit dem vorliegenden Urteil ist der Antrag auf Gewährung der aufschiebenden Wirkung sowie der Antrag, die Vollzugsbehörden seien anzuweisen, von Vollzugshandlungen abzusehen, gegenstandslos geworden.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 sein Begehren als aussichtslos zu gelten hat, kann dem Gesuch um Gewährung der unentgeltlichen Rechtspflege sowie dem Gesuch um Beiordnung eines amtlichen Rechtsbeistandes nicht stattgegeben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