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E-8334/2008 vom 21. Dezember 2010</w:t>
      </w:r>
    </w:p>
    <w:p>
      <w:r>
        <w:t>Bundesverwaltungsgericht, 2010-12-21, DE</w:t>
      </w:r>
    </w:p>
    <w:p>
      <w:r>
        <w:rPr>
          <w:b/>
        </w:rPr>
        <w:t xml:space="preserve">Quelle: </w:t>
      </w:r>
      <w:r>
        <w:t>https://mcp.opencaselaw.ch/entscheid/bvger_E-8334_2008</w:t>
      </w:r>
    </w:p>
    <w:p>
      <w:r>
        <w:t>FR: TAF E-8334/2008 du 21 décembre 2010</w:t>
      </w:r>
    </w:p>
    <w:p>
      <w:r>
        <w:t>IT: TAF E-8334/2008 del 21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negativen Entscheids führte die Vorinstanz im Wesentlichen aus, die Vorbringen des Beschwerdeführers zu seiner Verfolgungsgeschichte durch die arabische Familie seien während der Anhörung vom 16. Juli 2008 sehr vage und detailarm ausgefallen. So habe er weder Einzelheiten über den eigentlichen Konflikt noch Informationen über den Stammesführer H., welcher ihn im Jahre 2001 verletzt haben soll und die treibende Kraft im Streit zwischen den Familien gewesen sei, vorgebracht. Auch habe er es unterlassen, detaillierte Angaben zu den Auseinandersetzungen zwischen den beiden Familien und seinen fluchtauslösenden Ereignissen zu Protokoll zu geben. Da der Beschwerdeführer den Konflikt kaum beschreiben könne, müsse davon ausgegangen werden, dass sich dieser in Wirklichkeit nie abgespielt habe. Denn wären der Beschwerdeführer und seine Familie tatsächlich durch diese arabische Familie bedroht worden, könnte er mit Sicherheit den Konflikt und die Mitglieder der gegne­rischen Familie persönlich und eingehender beschreiben, zumal solche Ereignisse einen bleibenden Eindruck hinterlassen würden. Zudem wäre er mit Sicherheit von seinen Angehörigen über die Entwicklung der Probleme telefonisch informiert worden. Was das ins Recht gelegte Schreiben der Polizei von E._______ aus dem Jahre 2007 anbelange, sei allgemein bekannt, dass solche Dokumente im Heimatstaat des Beschwerdeführers ohne weiteres unrechtmässig erworben werden könnten, weshalb ihr Beweiswert als äusserst gering einzustufen sei. Auf eine eingehende Würdigung dieses Dokuments könne angesichts der dargelegten Unglaubhaftigkeit der Vorbringen des Beschwerdeführers verzichtet werden.Bezüglich des Wegweisungsvollzugs führte die Vorinstanz aus, obwohl irakische Asylbewerber aus der Provinz Ninewa in der Schweiz in der Regel vorläufig aufgenommen würden, bleibe der Vollzug in die nordirakischen Provinzen Dohuk, Erbil und Sulaymaniya grundsätzlich zumutbar, namentlich wenn es sich um alleinstehende gesunde junge Männer aus der Region handeln würde. Dabei müsse der Wegweisungsvollzug dorthin für junge Kurden aus Kirkuk oder Mosul im Einzelfall geprüft werden. Obschon der Beschwerdeführer selbst aus keiner der drei nordirakischen Provinzen stamme, sei eine Wegweisung aufgrund seiner Ethnie, seinem jungen Alter und seiner Gesundheit in das circa (...) km von seinem Wohnort entfernte Dohuk zumutbar. Dabei könne ihn dort seine wohlhabende Familie unterstützen. Zudem spreche er auch die in Dohuk vorherrschende Sprache Badini. Ferner sei zu erwähnen, dass der Beschwerdeführer in der Schweiz Anlass zu Klagen gegeben habe. Sei er doch im Jahre 2003 wegen sexueller Handlungen mit einem Kind zu 18 Monaten Gefängnis verurteilt worden.</w:t>
      </w:r>
    </w:p>
    <w:p>
      <w:r>
        <w:rPr>
          <w:b/>
        </w:rPr>
        <w:t>E. 3.2</w:t>
      </w:r>
    </w:p>
    <w:p>
      <w:r>
        <w:t>In erster Linie begründet der Beschwerdeführer sein zweites Asylgesuch vom 28. August 2007 damit, dass das nun eingereichte Schreiben der Polizei von E._______ vom 20. Juli 2007 aufzeige, dass die blutige Auseinandersetzung, in die er im Jahre 2002 verwickelt gewesen sei, noch zum jetzigen Zeitpunkt nicht habe geregelt werden können, er mithin begründete Furcht vor Verfolgung haben müsse. Festzuhalten ist vorweg, dass im vorliegenden Verfahren im Wesentlichen dieselben Ausreisegründe wie bereits im ersten Asylverfahren geltend gemacht werden. In seiner Verfügung vom 16. Oktober 2003 hielt das BFF dazu fest, die Vorbringen im Zusammenhang mit der angeblichen Fehde zwischen der Familie des Beschwerdeführers und einem arabischen Stammesführer und die daraus abgeleitete Verfolgungssituation seien unglaubhaft, da widersprüchlich und realitätsfremd geschildert. Diese Verfügung erwuchs unangefochten in Rechtskraft. Insofern stützt sich der Beschwerdefüh­rer im Rahmen des zweiten Asylverfahrens respektive der Beschwerde auf einen bereits abschliessend beurteilten Sachverhalt ab, mithin kann dieser nicht Gegenstand einer erneuten Beurteilung im Rahmen des vorlie­genden Verfahrens bilden (res iudicata; Fritz Gygi, Bundesver­waltungsrechts­pflege, 2. Aufl., Bern 1983, S. 322 f.; Alfred Kölz/Isabelle Häner, Verwaltungsverfahren und Verwaltungsrechtspflege des Bundes, 2. Aufl., Zürich 1998, S. Rz. 715). Die Nachreichung des Schreibens des Polizeireviers von E._______ vom 20. Juli 2007 vermag an der gesamten Einschätzung nichts zu ändern. So ist in Übereinstimmung mit der Vorinstanz darauf hinzuweisen, dass solcherlei Dokumente problemlos unrechtmässig erworben werden können und zudem der Inhalt des Dokuments mit den Aussagen des Beschwerdeführers, die er im Jahre 2002 getätigt hat, nicht korrespondiert. So gab er bei der damaligen Anhörung an, er sei im August 2001 verletzt worden (vgl. Akten Vorinstanz A10/19 S. 10), währenddem im Schreiben aus dem Jahre 2007 festgehalten wird, er sei im Jahre 2002 verletzt worden. Schliesslich erweckt insbesondere auch die Gestaltung des Schreibens einen wenig authentischen Eindruck, zumal weder eine Kopf- noch eine Fusszeile der lokalen Polizei angebracht ist. Der Vollständigkeit halber ist unter Verweis auf die Mitwirkungspflicht gemäss Art. 8 AsylG festzuhalten, dass nicht erkennbar ist, weshalb der Beschwerdeführer dieses Dokument nicht früher, beispielsweise mit dem Sturz des Regimes im Jahre 2004, beschafft hat. Nach dem Gesagten ist das Dokument höchstens als Gefälligkeitsschreiben zu qualifizieren, mit dem es dem Beschwerdeführer auch nicht gelingt eine Verfolgung(sfurcht) glaubhaft darzutun.</w:t>
      </w:r>
    </w:p>
    <w:p>
      <w:r>
        <w:rPr>
          <w:b/>
        </w:rPr>
        <w:t>E. 3.3</w:t>
      </w:r>
    </w:p>
    <w:p>
      <w:r>
        <w:t>Insgesamt ist somit in Übereinstimmung mit der Vorinstanz zu schliessen, dass die geltend gemachten Fluchtgründe als unglaubhaft zu werten sind respektive auch heute nicht davon auszugehen ist, der Beschwerdeführer habe bei einer Rückkehr in den Irak eine Verfolgung im Sinne von Art. 3 AsylG zu befürchten. Es erübrigt sich somit, auf die Ausführungen in seiner Beschwerde näher einzugehen, da sie nicht geeignet sind, die Schlussfolgerungen der Vorinstanz in Zweifel zu ziehen. Das BFM hat das Asylgesuch des Beschwerdeführers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welches seit dem 1. Januar 2008 in Kraft ist.</w:t>
      </w:r>
    </w:p>
    <w:p>
      <w:r>
        <w:rPr>
          <w:b/>
        </w:rPr>
        <w:t>E. 5.2</w:t>
      </w:r>
    </w:p>
    <w:p>
      <w:r>
        <w:t>Die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spätere Aufhebung der vor­läufigen Aufnahme würde dem betroffenen Asylsuchenden wiede­rum die Beschwerde an das Bundesverwaltungsgericht offen stehen (vgl. Art. 105 AsylG), wobei in jenem Verfahren alle Vollzugshindernisse von Amtes wegen nach Massgabe der in diesem Zeitpunkt herrschenden Verhältnisse von neuem zu prüfen sind (vgl. EMARK 1997 Nr. 27 S. 205 ff.). Weil sich vorliegend der Vollzug der Wegweisung aus den nachfolgend aufgezeigten Gründen als unzumutbar erweist, kann auf eine Erörterung der beiden anderen Kriterien - insbesondere des Zulässigkeit des Wegweisungsvollzuges - verzichtet werden.</w:t>
      </w:r>
    </w:p>
    <w:p>
      <w:r>
        <w:rPr>
          <w:b/>
        </w:rPr>
        <w:t>E. 5.3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Das Bundesverwaltungsgericht hat sich im Grundsatzurteil vom 14. März 2008 (BVGE 2008/5 S. 57 ff.) ausführlich mit der Frage der Zumutbarkeit des Wegweisungsvollzugs in den kurdischen Nordirak befasst. Es gelangte zum Schluss, dass in den Provinzen Dohuk, Erbil und Suleymania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Fraglich erscheint auch ein Wegweisungsvollzug von Kurden, die aus kurdisch dominierten Gebieten ausserhalb der drei Provinzen Dohuk, Erbil und Suleimaniya (namentlich aus Kirkuk und Mossul)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im Einzelfall zu prüfen. Zusammenfassend hielt das Gericht im besagten Urteil fest, dass die Anordnung des Wegweisungsvollzugs in der Regel für alleinstehende, gesunde und junge kurdische Männer, die ursprünglich aus den kur-disch kontrollierten Provinzen stammen und dort nach wie vor über ein soziales Netz oder Parteibeziehungen verfügen, zumutbar ist. Für alleinstehende Frauen und für Familien mit Kindern sowie für Kranke und Betagte ist dagegen bei der Feststellung der Zumutbarkeit des Wegweisungsvollzugs grosse Zurückhaltung angebracht.</w:t>
      </w:r>
    </w:p>
    <w:p>
      <w:r>
        <w:rPr>
          <w:b/>
        </w:rPr>
        <w:t>E. 5.4</w:t>
      </w:r>
    </w:p>
    <w:p>
      <w:r>
        <w:t>Aus den Akten ergibt sich, dass der alleinstehende und - soweit aktenkundig - gesunde, bald (...)-jährige Beschwerdeführer von Geburt bis zur Ausreise zusammen mit (...) in A._______, nahe B._______, (Provinz Ninewa) lebte, wo er seit seiner Kindheit im elterlichen (...) gearbeitet hat. Eigenen Aussagen gemäss verfügt er in den von der kurdischen Regionalregierung KRG kontrollierten nordirakischen Provinzen über kein verwandtschaftliches Beziehungsnetz. Aus den Akten geht denn auch nicht hervor, dass er eine Parteibeziehung pflegt oder dort über Bekannte respektive Freunde verfügt. Damit kann - entgegen anderslautender Meinung des BFM - zurzeit nicht von einer Aufenthaltsalternative in den nordirakischen Provinzen, namentlich in Dohuk, ausgegangen werden.</w:t>
      </w:r>
    </w:p>
    <w:p>
      <w:r>
        <w:rPr>
          <w:b/>
        </w:rPr>
        <w:t>E. 5.5</w:t>
      </w:r>
    </w:p>
    <w:p>
      <w:r>
        <w:t>Im Rahmen einer Gesamtwürdigung gelangt das Bundesverwaltungsgericht zum Schluss, dass der Vollzug der Wegweisung des Beschwerdeführers zum heutigen Zeitpunkt nicht zumutbar ist.</w:t>
      </w:r>
    </w:p>
    <w:p>
      <w:r>
        <w:rPr>
          <w:b/>
        </w:rPr>
        <w:t>E. 6.1</w:t>
      </w:r>
    </w:p>
    <w:p>
      <w:r>
        <w:t>Der Beschwerdeführer ist in der Schweiz am 25. Januar 2003 straffällig geworden. Es st daher zu prüfen, ob Vorbehalte im Sinne von Art. 83 Abs. 7 AuG vorliegen.</w:t>
      </w:r>
    </w:p>
    <w:p>
      <w:r>
        <w:rPr>
          <w:b/>
        </w:rPr>
        <w:t>E. 6.2</w:t>
      </w:r>
    </w:p>
    <w:p>
      <w:r>
        <w:t>Gemäss Art. 83 Abs. 7 AuG wird die vorläufige Aufnahme nach den Abs. 2 und 4 nicht verfügt, wenn die weg- oder ausgewiesene Person (Bst. a) zu ei­ner längerfristigen Freiheitsstrafe im In- oder Ausland ver­urteilt wurde oder wenn gegen sie eine strafrechtliche Massnahme im Sinne von Art. 64 oder 61 StGB angeordnet wurde (Bst. b.), sie erheblich oder wieder­holt gegen die öffentliche Sicherheit und Ord­nung in der Schweiz oder im Ausland verstossen hat oder diese ge­fährdet oder die innere oder die äussere Sicherheit gefährdet oder (Bst. c) die Unmöglichkeit des Vollzugs der Weg- oder Ausweisung durch ihr Verhalten verursacht hat (sog. Ausschlussklausel).</w:t>
      </w:r>
    </w:p>
    <w:p>
      <w:r>
        <w:rPr>
          <w:b/>
        </w:rPr>
        <w:t>E. 6.3</w:t>
      </w:r>
    </w:p>
    <w:p>
      <w:r>
        <w:t>Gemäss der am vormaligen Art. 14a Abs. 6 des Bundesgesetzes vom 26. März 1931 über Aufenthalt und Niederlassung der Ausländer (ANAG, BS 1 121) entwickelten und heute noch geltenden Praxis setzt die Anwendung der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EMARK 2004 Nr. 39, E. 5.3 und EMARK 2006 Nr. 11, E. 4 ff.).</w:t>
      </w:r>
    </w:p>
    <w:p>
      <w:r>
        <w:rPr>
          <w:b/>
        </w:rPr>
        <w:t>E. 6.4</w:t>
      </w:r>
    </w:p>
    <w:p>
      <w:r>
        <w:t>Obwohl aus dem der Beschwerdeschrift beigelegten Strafregisterauszug hervorgeht, dass der Beschwerdeführer im Strafregister nicht verzeichnet ist (Stand 15. Dezember 2008), ergibt sich aus den Akten, dass er vom Strafrichter des Bezirksgerichts D._______ mit Urteil vom 2. September 2003 - im Alter von (...) Jahren - der sexuellen Handlung mit einem Kind - die Geschädigte war damals (...) Jahre alt - gemäss Art. 187 Ziff. 1 StGB - schuldig gesprochen und zu einer bedingten Gefängnisstrafe von 18 Monaten mit einer Probezeit von drei Jahren und einem Landesverweis von sieben Jahren verurteilt wurde. Damit steht fest, dass der Beschwerdeführer mit dieser Tat eine als Verbrechen definierte Straftat, welche eine Freiheitsstrafe von bis zu drei Jahren oder eine Geldbusse vorsieht (vgl. Art. 187 Ziff. 1 i.V.m. Art. 10 Abs. 1 StGB) begangen hat, welche als verwerflich zu qualifizieren ist. Nebst dieser einmaligen Verurteilung im Jahre 2003 ist der Beschwerdeführer bis heute nicht mehr straffällig geworden, woraus geschlossen werden kann, dass er sich durch diese einmalige bedingt ausgesprochene "Warnstrafe" genügend hat beeindrucken lassen, um sich in Zukunft wohl zu verhalten, und gewillt ist, die schweizerische Rechtsordnung zu beachten. In Würdigung dieser Umstände kann - trotz des vor sieben Jahren ausgeübten Verbrechens - eine günstige Prognose gestellt werden und nicht von einer erheblichen kriminellen Energie des Beschwerdeführers ausgegangen werden.</w:t>
      </w:r>
    </w:p>
    <w:p>
      <w:r>
        <w:rPr>
          <w:b/>
        </w:rPr>
        <w:t>E. 6.5</w:t>
      </w:r>
    </w:p>
    <w:p>
      <w:r>
        <w:t>Aufgrund der vorstehenden Erwägungen lässt eine Gesamtab­wägung der gegenseitigen Interessen die Anordnung der vorläufigen Aufnahme in der Schweiz als verhältnismässig erscheinen. Das Gericht gelangt de­mnach zum Schluss, dass das private Interesse des Beschwerdeführers an einem Verbleib das öffentliche Interesse der Schweiz überwiegt.</w:t>
      </w:r>
    </w:p>
    <w:p>
      <w:r>
        <w:rPr>
          <w:b/>
        </w:rPr>
        <w:t>E. 7</w:t>
      </w:r>
    </w:p>
    <w:p>
      <w:r>
        <w:t>Aus diesen Erwägungen ergibt sich, dass die angefochtene Verfügung bezüglich der Abweisung des Asylgesuchs sowie der Anordnung der Wegweisung Bundesrecht nicht verletzt, den rechtserheblichen Sachverhalt richtig und vollständig feststellt und angemessen ist (Art. 106 AsylG). Die Beschwerde ist nach dem Gesagten bezüglich der Dispositivziffern 1, 2 und 3 der angefochtenen Verfügung abzuweisen. Bezüglich der Anordnung des Vollzugs der Wegweisung ist die Beschwerde gutzuheissen und die angefochtene Verfügung hinsichtlich der Ziffern 4 und 5 aufzuheben. Das BFM ist sodann anzuweisen, dem Beschwerdeführer wegen Unzumutbarkeit des Wegweisungsvollzugs die vorläufige Aufnahme zu gewähren.</w:t>
      </w:r>
    </w:p>
    <w:p>
      <w:r>
        <w:rPr>
          <w:b/>
        </w:rPr>
        <w:t>E. 8.1</w:t>
      </w:r>
    </w:p>
    <w:p>
      <w:r>
        <w:t>Aufgrund des hälftigen Obsiegens sind dem Beschwerdeführer reduzierte Verfahrenskosten von Fr. 300.- aufzuerlegen und mit dem am 16. Januar 2009 bereits geleisteten Kostenvorschuss von Fr. 600.- zu verrechnen. Die restlichen Fr. 300.- sind dem Beschwerdeführer zurückzuerstatten.</w:t>
      </w:r>
    </w:p>
    <w:p>
      <w:r>
        <w:rPr>
          <w:b/>
        </w:rPr>
        <w:t>E. 8.2</w:t>
      </w:r>
    </w:p>
    <w:p>
      <w:r>
        <w:t>Dem Beschwerdeführer ist bei diesem Verfahrensausgang in Anwendung von Art. 7 des Reglements vom 21. Februar 2008 über die Kosten und Entschädigungen vor dem Bundesverwaltungsgericht (VGKE, SR 173.320.2) zulasten der Vorinstanz eine reduzierte Parteientschä­digung für die ihm erwachsenen notwendigen Kosten zuzusprechen. Es wurde keine Kostennote zu den Akten gereicht. Der notwendige Vertretungsaufwand lässt sich indes aufgrund der Aktenlage zuver­lässig abschätzen, weshalb auf die Einholung einer solchen verzichtet wird (vgl. Art. 14 Abs. 2 in fine VGKE) und die Parteientschädigung von Amtes wegen auf Fr. 600.- (inklusive Auslagen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