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E-8321/2015 vom 19. Juni 2017</w:t>
      </w:r>
    </w:p>
    <w:p>
      <w:r>
        <w:t>Bundesverwaltungsgericht, 2017-06-19, DE</w:t>
      </w:r>
    </w:p>
    <w:p>
      <w:r>
        <w:rPr>
          <w:b/>
        </w:rPr>
        <w:t xml:space="preserve">Quelle: </w:t>
      </w:r>
      <w:r>
        <w:t>https://mcp.opencaselaw.ch/entscheid/bvger_E-8321_2015</w:t>
      </w:r>
    </w:p>
    <w:p>
      <w:r>
        <w:t>FR: TAF E-8321/2015 du 19 juin 2017</w:t>
      </w:r>
    </w:p>
    <w:p>
      <w:r>
        <w:t>IT: TAF E-8321/2015 del 19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mithin einzutreten.</w:t>
      </w:r>
    </w:p>
    <w:p>
      <w:r>
        <w:rPr>
          <w:b/>
        </w:rPr>
        <w:t>E. 2</w:t>
      </w:r>
    </w:p>
    <w:p>
      <w:r>
        <w:t>Über offensichtlich 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D-7853/2015 vom 31. Mai 2017 E. 13, zur Publikation als Referenzurteil vorgesehen) - im Urteilszeitpunkt um eine solche, weshalb der Beschwerdeentscheid nur summarisch zu begründen ist (Art. 111a Abs. 2 AsylG).</w:t>
      </w:r>
    </w:p>
    <w:p>
      <w:r>
        <w:rPr>
          <w:b/>
        </w:rPr>
        <w:t>E. 3.1</w:t>
      </w:r>
    </w:p>
    <w:p>
      <w:r>
        <w:t>Die Kognition des Bundesverwaltungsgerichts und die zulässigen Rügen richten sich im Asylbereich nach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sondern ein solches gründet insbesondere auf den materiellen Zuständigkeitsbestimmungen von Art. 18 Abs. 1 Bst. b, c und d Dublin-III-VO.</w:t>
      </w:r>
    </w:p>
    <w:p>
      <w:r>
        <w:rPr>
          <w:b/>
        </w:rPr>
        <w:t>E. 4.4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 antragstellende Person, die während der Prüfung seines Antrags in einem anderen Mitgliedstaat einen Antrag gestellt hat, nach Massgabe der Art. 23, 24, 25 und 29 Dublin-III-VO wieder aufzunehmen (Art. 18 Abs. 1 Bst. b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des Beschwerdeführers mit der "Eurodac"-Datenbank ergab, dass dieser am 12. August 2015 und am 10. September 2015 in Ungarn Asylgesuche eingereicht hatte. Die ungarischen Behörden liessen das Ersuchen des SEM um Wiederaufnahme des Beschwerdeführers innert der in Art. 25 Abs. 1 Dublin-III-VO vorgesehenen Frist unbeantwortet, womit sie die Zuständigkeit Ungarns implizit anerkannten (Art. 25 Abs. 2 Dublin-III-VO). Die Zuständigkeit Ungarns ist somit grundsätzlich gegeben.</w:t>
      </w:r>
    </w:p>
    <w:p>
      <w:r>
        <w:rPr>
          <w:b/>
        </w:rPr>
        <w:t>E. 6.1</w:t>
      </w:r>
    </w:p>
    <w:p>
      <w:r>
        <w:t>Im Lichte von Art. 3 Abs. 2 Dublin-III-VO ist weiter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welche die grundsätzliche Zuständigkeit Ungarns im Sinne von Art. 3 Abs. 1 Dublin-III-VO durchbrechen würden.</w:t>
      </w:r>
    </w:p>
    <w:p>
      <w:r>
        <w:rPr>
          <w:b/>
        </w:rPr>
        <w:t>E. 6.2</w:t>
      </w:r>
    </w:p>
    <w:p>
      <w:r>
        <w:t>Das Bundesverwaltungsgericht hat im Urteil D-7853/2015 (vgl. a.a.O.)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vorliegend nicht möglich, die Vorbringen in der Beschwerde vom 22. Dezember 2015 und den auf Beschwerdeebene eingereichten weiteren Eingaben zu beurteilen. Die angefochtene Verfügung ist folglich aufzuheben und die Sache zur vollständigen Sachverhaltsfeststellung sowie zur neuen Entscheidung an die Vorinstanz zurückzuweisen. Die Beschwerde ist demnach gutzuheissen, ohne dass auf weitere Beschwerdevorbringen eingegangen werden müsste. Nachdem sich die Beschwerde aufgrund des oben Gesagten zum heutigen Zeitpunkt als offensichtlich begründet erweist, ist sie im Einzelrichterverfahren mit Zustimmung eines zweiten Richters beziehungsweise einer zweiten Richterin, soweit damit die Aufhebung der angefochtenen Verfügung verlangt worden ist, gutzuheissen (Art. 111 Bst. e AsylG).</w:t>
      </w:r>
    </w:p>
    <w:p>
      <w:r>
        <w:rPr>
          <w:b/>
        </w:rPr>
        <w:t>E. 7.1</w:t>
      </w:r>
    </w:p>
    <w:p>
      <w:r>
        <w:t>Bei diesem Ausgang des Verfahrens sind keine Verfahrenskosten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am 5. Juli 2016 eine Kostennote zu den Akten gereicht, die - unter Berücksichtigung der seitherigen Eingaben - als angemessen erscheint. Dem Beschwerdeführer ist somit eine Parteientschädigung zu Lasten des SEM in der Höhe von Fr. 3'188.- (inklusive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