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E-831/2019 vom 11. März 2019</w:t>
      </w:r>
    </w:p>
    <w:p>
      <w:r>
        <w:t>Bundesverwaltungsgericht, 2019-03-11, DE</w:t>
      </w:r>
    </w:p>
    <w:p>
      <w:r>
        <w:rPr>
          <w:b/>
        </w:rPr>
        <w:t xml:space="preserve">Quelle: </w:t>
      </w:r>
      <w:r>
        <w:t>https://mcp.opencaselaw.ch/entscheid/bvger_E-831_2019</w:t>
      </w:r>
    </w:p>
    <w:p>
      <w:r>
        <w:t>FR: TAF E-831/2019 du 11 mars 2019</w:t>
      </w:r>
    </w:p>
    <w:p>
      <w:r>
        <w:t>IT: TAF E-831/2019 del 11 marzo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 - einzutreten.</w:t>
      </w:r>
    </w:p>
    <w:p>
      <w:r>
        <w:rPr>
          <w:b/>
        </w:rPr>
        <w:t>E. 1.4</w:t>
      </w:r>
    </w:p>
    <w:p>
      <w:r>
        <w:t>Auf den Antrag auf Mitteilung betreffend die Zufälligkeit der Zusammensetzung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Antrag auf Mitteilung des Spruchgremiums wird mit Erlass des vorliegenden Urteils gegenstandslos.</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sieht eine Verletzung des rechtlichen Gehörs darin, dass das SEM in der angefochtenen Verfügung vom 9. Januar 2019 praktisch sämtliche risikobegründenden Faktoren nicht berücksichtigt respektive falsch oder unvollständig abgeklärt habe (Beschwerde S. 8 f.). Bei der angefochtenen Verfügung handle es sich um eine kritiklose Reproduktion und Übernahme von Schlussfolgerungen des mangelhaften ersten Asylverfahrens. Diese Rüge ist aus den folgenden Gründen zurückzuweisen: Das erste Asylverfahren wurde mit rechtskräftigem Urteil vom 16. Juli 2018 abgeschlossen. Die im Rahmen jenes Verfahrens geltend gemachten Vorbringen wurden rechtskräftig beurteilt. Deren Anfechtung wäre nur auf dem Wege der Revision möglich. Demgegenüber sind vorliegend nur Tatsachen und Beweismittel Gegenstand des Verfahrens, die nach dem letzten rechtskräftigen Entscheid entstanden sind. Soweit sich der Beschwerdeführer auf die Glaubhaftigkeit seiner Asylvorbringen im Rahmen des ersten Asylverfahrens beruft, ist darauf nicht einzugehen.</w:t>
      </w:r>
    </w:p>
    <w:p>
      <w:r>
        <w:rPr>
          <w:b/>
        </w:rPr>
        <w:t>E. 5.4</w:t>
      </w:r>
    </w:p>
    <w:p>
      <w:r>
        <w:t>Weiter liege eine Verletzung des rechtlichen Gehörs vor, weil die Vorinstanz die Durchführung einer zweiten Anhörung verweigert habe. An dieser Stelle kann auf die Erwägung des SEM verwiesen werden, wonach Verfahren nach Art. 111b und Art. 111c AsylG gemäss Rechtsprechung grundsätzlich schriftlich geführt werden (BVGE 2014/39 E. 5) und dass eine Anhörung sich vorliegend nicht als angezeigt erweise. Das ausführliche Mehrfachgesuch vom 8. November 2018 legt die neuen Vorbringen in der Tat hinreichend dar. Die entsprechende Rüge ist folglich nicht zu hören. Gleiches gilt für das Vorbringen, es sei auch deshalb eine ergänzende Anhörung durchzuführen, weil die letzte Anhörung inzwischen fast ein Jahr zurückliege (Beschwerde S. 9 f., mit Verweis auf von Prof. Dr. Walter Kälin).</w:t>
      </w:r>
    </w:p>
    <w:p>
      <w:r>
        <w:rPr>
          <w:b/>
        </w:rPr>
        <w:t>E. 5.5</w:t>
      </w:r>
    </w:p>
    <w:p>
      <w:r>
        <w:t>Des Weiteren rügt der Beschwerdeführer, die Vorinstanz habe ihre Begründungspflicht verletzt, indem sie wesentliche Parteivorbringen nicht gewürdigt habe (vgl. Beschwerde S. 10 ff.). Sie habe hinsichtlich der aktuellen Gefährdungslage in Sri Lanka für Personen tamilischer Ethnie auf das Urteil vom 16. Juli 2018 verwiesen, was indes in keiner Weise nachvollziehbar sei. Dieser Vorwurf ist unbegründet. Das SEM hat in der angefochtenen Verfügung bezüglich jenen Vorbringen, die bereits im vorangegangenen Asylverfahren aktenkundig waren, zu Recht auf das rechtskräftige Urteil vom 16. Juli 2018 verwiesen (vgl. Verfügung vom 9. Januar 2019 S. 3 oben). Danach setzte es sich mit den neuen Vorbringen des Beschwerdeführers im Rahmen seines zweiten Asylgesuchs (zwischenzeitliche Veränderung der politischen Situation in Sri Lanka) auseinander. Eine Verletzung der Begründungspflicht durch die Vorinstanz ist darin nicht ersichtlich.</w:t>
      </w:r>
    </w:p>
    <w:p>
      <w:r>
        <w:rPr>
          <w:b/>
        </w:rPr>
        <w:t>E. 5.6</w:t>
      </w:r>
    </w:p>
    <w:p>
      <w:r>
        <w:t>Schliesslich rügt der Beschwerdeführer, der rechtserhebliche Sachverhalt sei unvollständig und unrichtig abgeklärt worden, indem das SEM den Sachverhalt bezüglich der Unterstützung der LTTE und TNA durch den Beschwerdeführer nicht abgeklärt habe (vgl. Beschwerde S. 15 ff.). Soweit der Beschwerdeführer die Glaubhaftigkeit seiner LTTE- und TNA-Vorbringen geltend macht, sind diese mit Verweis auf die obige Erwägung 5.3 nicht weiter zu überprüfen, zumal über diese Vorbringen bereits mit Urteil vom 16. Juli 2018 rechtskräftig entschieden worden ist. Die Rüge der mangelnden Sachverhaltsfeststellung geht fehl.</w:t>
      </w:r>
    </w:p>
    <w:p>
      <w:r>
        <w:rPr>
          <w:b/>
        </w:rPr>
        <w:t>E. 5.7</w:t>
      </w:r>
    </w:p>
    <w:p>
      <w:r>
        <w:t>Weiter habe die Vorinstanz die aktuelle Situation in Sri Lanka unvollständig und unkorrekt abgeklärt und das von ihr erstellte Lagebild vom 16. August 2016 genüge den Anforderungen an korrekt erhobene Länderinformationen nicht (vgl. Beschwerde S. 21 oben). Die Vorinstanz habe nicht korrekt thematisiert, dass die zu erwartende Vorsprache auf dem sri-lankischen Generalkonsulat zwecks Papierbeschaffung eine Vorbereitung für einen Background Check sei (vgl. Beschwerde S. 18 oben).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Betreffend die vom Beschwerdeführer angebrachten Befürchtungen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5.8</w:t>
      </w:r>
    </w:p>
    <w:p>
      <w:r>
        <w:t>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Regimekritiker,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w:t>
      </w:r>
    </w:p>
    <w:p>
      <w:r>
        <w:rPr>
          <w:b/>
        </w:rPr>
        <w:t>E. 5.9</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 in ihrem Entscheid zunächst aus, dass hinsichtlich der aktuellen Gefährdungslage in Sri Lanka für Personen tamilischer Ethnie auf das Urteil des Bundesverwaltungsgerichts vom 16. Juli 2018 zu verweisen sei. Im vorangegangenen Asylverfahren seien die Vorbringen des Beschwerdeführers als nicht glaubhaft beziehungsweise nicht asylrelevant qualifiziert worden. Es gelte zu prüfen, ob er im Falle seiner Rückkehr nach Sri Lanka dennoch begründete Furcht vor künftigen Verfolgungsmassnahmen im Sinne von Art. 3 AsylG habe. Dabei kam es unter Bezugnahme auf das Referenzurteil des Bundesverwaltungsgerichts E-1866/2015 vom 15. Juli 2016 betreffend die Prüfung der sog. Risikofaktoren zum Schluss, dass aufgrund der Aktenlage nicht ersichtlich sei, weshalb der Beschwerdeführer bei einer Rückkehr nach Sri Lanka nunmehr in den Fokus der Behörden geraten und verfolgt werden sollte. Auch der seit dem 26. Oktober 2018 begonnene Machtkampf zwischen der Sri Lanka Freedom Party (SLFP) von Maithripala Sirisena sowie der Sri Lanka People's Party (SLPP) von Mahinda Rajapaksa und der United National Party (UNP) von Ranil Wickremesinghe würde diese Einschätzung nicht umzustossen vermögen.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aufgrund des Machtkampfs auszugehen. Für eine solche Annahme brauche es vielmehr im Einzelfall spezifische Anknüpfungspunkte zu diesem,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würden hingegen weiterhin keine Gefährdungssituation begründen. Im heutigen Zeitpunkt gebe es keinen Grund zur Annahme, dass die aktuelle politische Situation in Sri Lanka Konsequenzen für den Beschwerdeführer habe, würden doch gerade keine spezifischen Anknüpfungspunkte zwischen dem Machtkampf und seiner Person bestehen. An dieser Einschätzung würden die Ausführungen in der Eingabe vom 8. November 2018 sowie die eingereichten Beweismittel nichts ändern, zumal sich daraus kein persönlicher Bezug zum Beschwerdeführer ergebe.</w:t>
      </w:r>
    </w:p>
    <w:p>
      <w:r>
        <w:rPr>
          <w:b/>
        </w:rPr>
        <w:t>E. 7.2</w:t>
      </w:r>
    </w:p>
    <w:p>
      <w:r>
        <w:t>Der Beschwerdeführer hielt dem in seiner Beschwerde entgegen, dass er aufgrund der neusten Entwicklungen in seinem Heimatstaat asylrechtlich gefährdet sei. Der Rechtsvertreter des Beschwerdeführers machte ausserdem ausgedehnte allgemeine Ausführungen zur aktuellen Lage in Sri Lanka und reichte zum Beleg seiner Einschätzung eine sehr umfangreiche eigene Dokumenten- und Quellensammlung ein, welche das Lagebild kommentiere und die Einschätzung des SEM widerlege. Im Zusammenhang mit der Gefährdungslage von tamilischen Rückkehrern nahm er Bezug auf die im Referenzurteil E-1866/2015 des Bundesverwaltungsgerichts vom 15. Juli 2016 definierten Risikofaktoren. Vor diesem Hintergrund sei die geltend gemachte Furcht des Beschwerdeführers um Leib und Leben begründet, zumal er als Tamile einer verfolgten sozialen Gruppe angehöre und nach einem mehrjährigen Aufenthalt in einem tamilischen Exilzentrum nach Sri Lanka zurückkehren würde. Er erfülle zahlreiche der vom Bundesverwaltungsgericht definierten Risikofaktoren (wie frühere Tätigkeit bei den LTTE und behördliche Behelligungen, exilpolitisches Engagement, fehlende gültige Identitätspapiere; vgl. Beschwerde S. 48 f.), welche vor dem Hintergrund der Rückkehr Rajapaksas verstärkt Geltung hätten. Daran ändere auch der Rücktritt Rajapaksas als Premierminister am 16. Dezember 2018 infolge des Urteils des Obersten Gerichts nichts, denn Ranil Wickremesinghe sei zwar wieder im Amt, die eigentliche Macht liege aber weiterhin bei Rajapaksa. Mit seinem politischen Comeback und der Ernennung zum Oppositionsführer sei er der heimliche Machthaber Sri Lankas (Beschwerde S. 32 f.).</w:t>
      </w:r>
    </w:p>
    <w:p>
      <w:r>
        <w:rPr>
          <w:b/>
        </w:rPr>
        <w:t>E. 8.1</w:t>
      </w:r>
    </w:p>
    <w:p>
      <w:r>
        <w:t>Die Vorinstanz hat in ihrem Entscheid überzeugend dargelegt, dass die Vorbringen des Beschwerdeführers den Anforderungen an die Flüchtlingseigenschaft nicht gerecht würden. Das Gericht schliesst sich diesen Ausführungen an. Vorliegend sind lediglich jene Vorbringen des Beschwerdeführers Gegenstand des Verfahrens, die sich auf den Zeitraum nach dem letzten rechtskräftigen Entscheid vom 16. Juli 2018 beziehen.</w:t>
      </w:r>
    </w:p>
    <w:p>
      <w:r>
        <w:rPr>
          <w:b/>
        </w:rPr>
        <w:t>E. 8.2</w:t>
      </w:r>
    </w:p>
    <w:p>
      <w:r>
        <w:t>Es ist nicht davon auszugehen, dass ihm persönlich im Falle einer Rückkehr nach Sri Lanka ernsthafte Nachteile im Sinne von Art. 3 AsylG drohen würden. Dies ergibt sich auch nicht aus den auf Beschwerdeebene eingereichten Dokumenten, Berichten und Länderinformationen. Der am 26. Oktober 2018 begonnene Machtkampf zwischen Maithripala Sirisena, Mahinda Rajapaksa und Ranil Wickremesinghe vermag an der Einschätzung im Urteil vom 16. Juli 2018 ebenso wenig Grundlegendes zu ändern. Die aktuelle Lage in Sri Lanka ist zwar als angespannt und volatil zu beurteilen, jedoch ist aufgrund dessen nicht auf eine generell erhöhte Gefährdung von zurückkehrenden sri-lankischen Staatsangehörigen tamilischer Ethnie zu schliessen. Aus den Akten ergeben sich ferner keine Hinweise, dass speziell der Beschwerdeführer einer erhöhten Gefahr ausgesetzt wäre. Dies wird denn auch nicht dargelegt. Es sind somit keine Hinweise gegeben, die geeignet wären, seine Flüchtlingseigenschaft nachzuweisen oder zumindest glaubhaft zu machen. Die Vorinstanz hat sein Mehrfachgesuch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jeder nach Sri Lanka zurückgeschaffte tamilische Asylgesuchsteller jederzeit Opfer einer Verhaftung und von Verhören unter Anwendung4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im Urteil des BVGer E-1866/2015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eine neue Dimension erreicht habe. Nach Einschätzung des Bundesverwaltungsgerichts ändern auch die volatile Lage und die Ernennung Rajapaksas zum Oppositionsführer nichts an der Beurteilung der Verfolgungssituation für nach Sri Lanka zurückkehrende Tamilen. Aufgrund der fehlenden Glaubhaftigkeit der Vorbringen des Beschwerdeführers (vgl. Urteil E-3340/2018 vom 16. Juli 2018)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Der Vollzug der Wegweisung ist somit sowohl im Sinne der asylgesetzlichen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w:t>
      </w:r>
    </w:p>
    <w:p>
      <w:r>
        <w:rPr>
          <w:b/>
        </w:rPr>
        <w:t>E. 10.5.2</w:t>
      </w:r>
    </w:p>
    <w:p>
      <w:r>
        <w:t>Demnach hat die Vorinstanz die Zumutbarkeit des Wegweisungsvollzugs in den Distrikt Jaffna, Nordprovinz, aus welchem der Beschwerdeführer stammt, zutreffend bejaht. Daran vermögen auch die geltend gemachten aktuellen politischen Entwicklungen in Sri Lanka mit Verweis auf die vorstehenden Erwägungen nichts zu ändern. Der gemäss Aktenlage gesunde Beschwerdeführer verfügt in seinem Heimatstaat über familiäre Bezugspersonen (Ehefrau und Kinder). Es ist somit davon auszugehen, dass er in seiner heimatlichen Umgebung über ein solides Beziehungsnetz sowie eine gesicherte Wohnsituation verfügt, womit es ihm gelingen dürfte, sich dort in sozialer und beruflicher Hinsicht wiedereinzugliedern. Der Vollzug erweist sich deshalb auch in individueller Hinsicht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zufolge seiner sehr umfangreichen Beschwerde mit zahlreichen Beilagen und Ausführungen ohne individuellen Bezug zu ihm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Urteil des BVGer E-5142/2018 vom 13. November 2018 E. 6.1). Dieser Betrag ist von den gesamten Verfahrenskosten in der Höhe von Fr. 1 500.- in Abzug zu bringen.</w:t>
      </w:r>
    </w:p>
    <w:p>
      <w:r>
        <w:rPr>
          <w:b/>
        </w:rPr>
        <w:t>E. 13</w:t>
      </w:r>
    </w:p>
    <w:p>
      <w:r>
        <w:t>Mit vorliegendem Urteil fällt der am 19. Februar 2019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