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E-8319/2008 vom 24. August 2009</w:t>
      </w:r>
    </w:p>
    <w:p>
      <w:r>
        <w:t>Bundesverwaltungsgericht, 2009-08-24, FR</w:t>
      </w:r>
    </w:p>
    <w:p>
      <w:r>
        <w:rPr>
          <w:b/>
        </w:rPr>
        <w:t xml:space="preserve">Quelle: </w:t>
      </w:r>
      <w:r>
        <w:t>https://mcp.opencaselaw.ch/entscheid/bvger_E-8319_2008</w:t>
      </w:r>
    </w:p>
    <w:p>
      <w:r>
        <w:t>FR: TAF E-8319/2008 du 24 août 2009</w:t>
      </w:r>
    </w:p>
    <w:p>
      <w:r>
        <w:t>IT: TAF E-8319/2008 del 24 agosto 2009</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de la Constitution fédérale de la Confédération suisse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 2 p. 103-104).</w:t>
      </w:r>
    </w:p>
    <w:p>
      <w:r>
        <w:rPr>
          <w:b/>
        </w:rPr>
        <w:t>E. 3.1</w:t>
      </w:r>
    </w:p>
    <w:p>
      <w:r>
        <w:t>En l'espèce, arguant de son état de santé, le recourant remet en cause le caractère licite et raisonnablement exigible de l'exécution du renvoi. La question à résoudre est donc de déterminer s'il s'agit en l'occurrence d'un point nouveau, et si les problèmes médicaux touchant l'intéressé ont une portée suffisante pour mener à une appréciation différente de celle effectuée en procédure ordinaire. La dégradation de l'état de santé du recourant est incontestablement un élément nouveau. Quant à sa portée, le Tribunal retient ce qui suit :</w:t>
      </w:r>
    </w:p>
    <w:p>
      <w:r>
        <w:rPr>
          <w:b/>
        </w:rPr>
        <w:t>E. 3.2</w:t>
      </w:r>
    </w:p>
    <w:p>
      <w:r>
        <w:t>Il n'y a pas lieu d'admettre que l'exécution du renvoi soit illicite. En effet, faisant application de l'art. 3 de la convention du 4 novembre 1950 de sauvegarde des droits de l'homme et des libertés fondamentales (CEDH, RS 0.101), la Cour européenne des droits de l'homme a admis, s'agissant de personnes atteintes dans leur santé, que le renvoi forcé n'est susceptible de constituer une violation de cette disposition que dans des cas très exceptionnels, à savoir si l'intéressé se trouve dans un stade de sa maladie avancé et terminal, au point que sa mort apparaît comme une perspective proche ou que l'hypothèse de son rapide décès après le renvoi confine à la certitude. Dans le cas d'espèce, l'intéressé est atteint de troubles psychologi-ques, pour lesquelles il est maintenant traité. Il n'y a pas lieu de considérer que son retour au Congo serait de nature à le mettre dans un danger de mort imminent ; en effet, dans le cas d'atteintes psychiques, un tel risque ne peut par essence que rester hypothétique. Par ailleurs, l'exécution du renvoi ne contrevient pas non plus à la Convention du 20 novembre 1989 relative aux droits de l'enfant (RS 0.107), dans la mesure où le recourant est appelé à rentrer au Congo avec sa mère, laquelle se trouve aussi sous le coup d'une décision de renvoi exécutable.</w:t>
      </w:r>
    </w:p>
    <w:p>
      <w:r>
        <w:rPr>
          <w:b/>
        </w:rPr>
        <w:t>E. 3.3</w:t>
      </w:r>
    </w:p>
    <w:p>
      <w:r>
        <w:t>Quant au caractère non raisonnablement exigible de l'exécution du renvoi, il convient de rappeler, s'agissant des personnes en traitement médical en Suisse, qu'une telle hypothèse suppose que ces personnes pourraient ne plus recevoir les soins essentiels, faute desquels leur état de santé se dégraderait très rapidement au point de conduire d'une manière certaine à la mise en danger concrète de leur vie ou à une atteinte sérieuse, durable, et notablement plus grave de leur intégrité physique. L'art. 83 al. 4 de la loi fédérale du 16 décembre 2005 sur les étrangers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Dans le cas particulier, les soins indispensables au recourant, ni importants ni compliqués, ne contre-indiquent pas catégoriquement un retour au Congo, ce d'autant plus que son état est peu aigu et qu'il disposera sur place d'un réseau familial suffisant ; les médicaments nécessaires pourraient d'ailleurs lui être fournis sous la forme d'une aide au retour appropriée.</w:t>
      </w:r>
    </w:p>
    <w:p>
      <w:r>
        <w:rPr>
          <w:b/>
        </w:rPr>
        <w:t>E. 3.4</w:t>
      </w:r>
    </w:p>
    <w:p>
      <w:r>
        <w:t>Dès lors, le recours doit être rejeté, l'intéressé n'ayant pas fait valoir de faits nouveaux et décisifs de nature à entraîner le réexamen de la décision de l'ODM.</w:t>
      </w:r>
    </w:p>
    <w:p>
      <w:r>
        <w:rPr>
          <w:b/>
        </w:rPr>
        <w:t>E. 4.1</w:t>
      </w:r>
    </w:p>
    <w:p>
      <w:r>
        <w:t>Dans la mesure où les conclusions du recours n'étaient pas d'emblée vouées à l'échec, et où le recourant ne dispose pas des ressources lui permettant d'assumer les frais de la procédure, la demande d'assistance judiciaire partielle est admise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