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E-8295/2010 vom 10. Dezember 2010</w:t>
      </w:r>
    </w:p>
    <w:p>
      <w:r>
        <w:t>Bundesverwaltungsgericht, 2010-12-10, FR</w:t>
      </w:r>
    </w:p>
    <w:p>
      <w:r>
        <w:rPr>
          <w:b/>
        </w:rPr>
        <w:t xml:space="preserve">Quelle: </w:t>
      </w:r>
      <w:r>
        <w:t>https://mcp.opencaselaw.ch/entscheid/bvger_E-8295_2010</w:t>
      </w:r>
    </w:p>
    <w:p>
      <w:r>
        <w:t>FR: TAF E-8295/2010 du 10 décembre 2010</w:t>
      </w:r>
    </w:p>
    <w:p>
      <w:r>
        <w:t>IT: TAF E-8295/2010 del 10 dicembre 2010</w:t>
      </w:r>
    </w:p>
    <w:p>
      <w:pPr>
        <w:pStyle w:val="Heading2"/>
      </w:pPr>
      <w:r>
        <w:t>Regeste</w:t>
      </w:r>
    </w:p>
    <w:p>
      <w:r>
        <w:t>Asile et renvoi</w:t>
      </w:r>
    </w:p>
    <w:p>
      <w:pPr>
        <w:pStyle w:val="Heading2"/>
      </w:pPr>
      <w:r>
        <w:t>Erwägungen</w:t>
      </w:r>
    </w:p>
    <w:p>
      <w:r>
        <w:rPr>
          <w:b/>
        </w:rPr>
        <w:t>E. 1</w:t>
      </w:r>
    </w:p>
    <w:p>
      <w:r>
        <w:t>Les deux affaires sont étroitement liées, qu'il s'agisse des parties intéressées ou des problèmes soulevés. L'économie de procédure commande de les examiner dans un seul arrêt.</w:t>
      </w:r>
    </w:p>
    <w:p>
      <w:r>
        <w:rPr>
          <w:b/>
        </w:rPr>
        <w:t>E. 2.1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2.2</w:t>
      </w:r>
    </w:p>
    <w:p>
      <w:r>
        <w:t>Les recourantes ont qualité pour recourir (art. 48 al. 1 PA). Présenté dans les formes (art. 52 PA) et le délai (art. 108 al. 2 de la loi sur l'asile du 26 juin 1998 [LAsi, RS 142.31]) prescrits par la loi, le recours est recevable.</w:t>
      </w:r>
    </w:p>
    <w:p>
      <w:r>
        <w:rPr>
          <w:b/>
        </w:rPr>
        <w:t>E. 3</w:t>
      </w:r>
    </w:p>
    <w:p>
      <w:r>
        <w:t>Les intéressées ont renoncé expressément à recourir contre la décision de l'autorité inférieure en tant qu'elle porte sur le rejet de leur demande d'asile et le principe du renvoi. Sous cet angle, la décision de l'ODM est donc entrée en force.</w:t>
      </w:r>
    </w:p>
    <w:p>
      <w:r>
        <w:rPr>
          <w:b/>
        </w:rPr>
        <w:t>E. 4</w:t>
      </w:r>
    </w:p>
    <w:p>
      <w:r>
        <w:t>Dans un grief d'ordre formel qu'il convient d'examiner en premier lieu, les recourantes font valoir une violation de leur droit d'être entendues, au motif que les décisions attaquées ont été rendues sans qu'elles aient pu se déterminer sur les mesures d'instruction ordonnées (...).</w:t>
      </w:r>
    </w:p>
    <w:p>
      <w:r>
        <w:rPr>
          <w:b/>
        </w:rPr>
        <w:t>E. 4.1</w:t>
      </w:r>
    </w:p>
    <w:p>
      <w:r>
        <w:t>Tel qu'il est garanti par les art. 29 PA, 29 al. 2 Cst. et art. 12 de la convention relative aux droits de l'enfant (RS 0.107), le droit d'être entendu comprend notamment le droit de prendre connaissance de toute prise de position soumise à l'autorité et de se déterminer à ce propos, que celle-ci contienne ou non de nouveaux arguments de fait ou de droit et qu'elle soit ou non concrètement susceptible d'influer sur le sort du litige. L'autorité qui verse au dossier de nouvelles pièces dont elle entend se prévaloir est ainsi tenue d'en aviser les parties et de leur donner l'occasion de se déterminer à leur sujet, y compris dans les procédures qui ne tombent pas dans le champ de protection de l'art. 6 par. 1 de la Convention du 4 novembre 1950 de sauvegarde des droits de l'homme et des libertés fondamentales (CEDH, RS 0.101) (ATF 133 I 100 consid. 4).</w:t>
      </w:r>
    </w:p>
    <w:p>
      <w:r>
        <w:rPr>
          <w:b/>
        </w:rPr>
        <w:t>E. 4.2</w:t>
      </w:r>
    </w:p>
    <w:p>
      <w:r>
        <w:t>Dans le cas présent, l'ODM n'a pas respecté ces garanties en clôturant la procédure de première instance sans avoir communiqué aux recourantes, au moins pour information, les déterminations de (...), puis en tirant argument du résultat de ces recherches pour ordonner l'exécution de la mesure de renvoi.</w:t>
      </w:r>
    </w:p>
    <w:p>
      <w:r>
        <w:rPr>
          <w:b/>
        </w:rPr>
        <w:t>E. 4.3</w:t>
      </w:r>
    </w:p>
    <w:p>
      <w:r>
        <w:t>Le droit d'être entendu est une garantie constitutionnelle de nature formelle dont la violation doit entraîner l'annulation de la décision attaquée, indépendamment des chances de succès du recours sur le fond. La jurisprudence admet toutefois qu'une violation de ce droit en instance inférieure puisse être réparée lorsque l'intéressé a la faculté de se faire entendre en instance supérieure par une autorité disposant, comme en l'espèce, d'un plein pouvoir d'examen en fait et en droit. Une telle réparation dépend toutefois de la gravité et de l'étendue de l'atteinte portée au droit d'être entendu et doit rester l'exception. Elle peut également se justifier en présence d'un vice grave lorsque le renvoi constituerait une vaine formalité et aboutirait à un allongement inutile de la procédure (cf. ATAF E-5644/2009 consid. 6.2 n. p.).</w:t>
      </w:r>
    </w:p>
    <w:p>
      <w:r>
        <w:rPr>
          <w:b/>
        </w:rPr>
        <w:t>E. 4.4</w:t>
      </w:r>
    </w:p>
    <w:p>
      <w:r>
        <w:t>En l'espèce, il n'apparaît cependant pas opportun de guérir cette omission au stade du recours (cf. note de dossier (...), pièce A13/1), dès lors que le Tribunal juge que l'état de fait relatif à l'exécution du renvoi des intéressées n'est pas suffisamment établi. En effet, l'exécution du renvoi d'un mineur suppose que la question de la prise en charge de celui-ci ait été éclairci lors de l'instruction de la cause déjà (cf. JICRA 2006 n° 24 consid. 6.2.2, JICRA 1999 n° 2 consid. 6c). On ne saurait dès lors reporter l'examen des conditions de prise en charge des enfants dans le cadre des modalités d'exécution de la décision de renvoi entrée en force de chose jugée. Or, dans le cas d'espèce, si des mesures d'instruction ont effectivement été faites par l'autorité de première instance, il doit être constaté que les informations ne permettent pas de se prononcer en connaissance de cause sur la question de l'exécution du renvoi des recourantes. Ainsi, il ressort du dossier que (informations sur leur situation personnelle). Dans ces conditions, il incombera à l'ODM, à qui la cause est renvoyée, d'examiner de manière plus précise le caractère raisonnablement exigible du renvoi des intéressées (cf. ODM, Manuel de procédure d'asile, Requérants d'asile mineurs non accompagnés, 7.12.3 Exigibilité). Pour ce faire, puisque les recourantes n'ont pas la qualité de réfugié, cet office pourra librement requérir des informations auprès des services compétents russes.</w:t>
      </w:r>
    </w:p>
    <w:p>
      <w:r>
        <w:rPr>
          <w:b/>
        </w:rPr>
        <w:t>E. 4.5</w:t>
      </w:r>
    </w:p>
    <w:p>
      <w:r>
        <w:t>Les décisions attaquées se révèlent par conséquent contraires au droit, de sorte qu'il y a lieu de les annuler et de renvoyer les causes à l'office fédéral pour qu'il rende de nouvelles décisions.</w:t>
      </w:r>
    </w:p>
    <w:p>
      <w:r>
        <w:rPr>
          <w:b/>
        </w:rPr>
        <w:t>E. 5</w:t>
      </w:r>
    </w:p>
    <w:p>
      <w:r>
        <w:t>Le recours s'avérant manifestement bien fondé, il est admis dans une procédure à juge unique, avec l'approbation d'un second juge (art. 111 let. e LAsi). Il est renoncé à un échange d'écritures et le prononcé n'est motivé que sommairement (art. 111a LAsi).</w:t>
      </w:r>
    </w:p>
    <w:p>
      <w:r>
        <w:rPr>
          <w:b/>
        </w:rPr>
        <w:t>E. 6</w:t>
      </w:r>
    </w:p>
    <w:p>
      <w:r>
        <w:t>Il est statué sans frais (art. 63 al. 2 et 3 PA). L'office fédéral versera à titre de dépens aux recourantes une indemnité de Fr. 400.- (art. 64 al. 1 PA). Il en résulte que la demande d'assistance judiciaire totale est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