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E-8280/2015 vom 23. Februar 2016</w:t>
      </w:r>
    </w:p>
    <w:p>
      <w:r>
        <w:t>Bundesverwaltungsgericht, 2016-02-23, DE</w:t>
      </w:r>
    </w:p>
    <w:p>
      <w:r>
        <w:rPr>
          <w:b/>
        </w:rPr>
        <w:t xml:space="preserve">Quelle: </w:t>
      </w:r>
      <w:r>
        <w:t>https://mcp.opencaselaw.ch/entscheid/bvger_E-8280_2015</w:t>
      </w:r>
    </w:p>
    <w:p>
      <w:r>
        <w:t>FR: TAF E-8280/2015 du 23 février 2016</w:t>
      </w:r>
    </w:p>
    <w:p>
      <w:r>
        <w:t>IT: TAF E-8280/2015 del 23 febbraio 2016</w:t>
      </w:r>
    </w:p>
    <w:p>
      <w:pPr>
        <w:pStyle w:val="Heading2"/>
      </w:pPr>
      <w:r>
        <w:t>Regeste</w:t>
      </w:r>
    </w:p>
    <w:p>
      <w:r>
        <w:t>Asyl und Wegweisung (Beschwerde gegen Wiedererwägungsentscheid)</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(Art. 111 Bst. e AsylG) und mit summarischer Begründung zu behandeln (Art. 111a Abs. 2 AsylG). Auf die Durchführung eines Schriftenwechsels wird verzichtet (Art. 111a Abs. 1 AsylG)</w:t>
      </w:r>
    </w:p>
    <w:p>
      <w:r>
        <w:rPr>
          <w:b/>
        </w:rPr>
        <w:t>E. 3.1</w:t>
      </w:r>
    </w:p>
    <w:p>
      <w:r>
        <w:t>Das Wiedererwägungsverfahren ist im Asylrecht spezialgesetzlich geregelt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vgl. BVGE 2014/39 E. 4.5 m.w.H.). Falls die abzuändernde Verfügung unangefochten geblieben - oder ein eingeleitetes Beschwerdeverfahren mit einem blossen Prozessentscheid abgeschlossen worden ist - können auch Revisionsgründe einen Anspruch auf Wiedererwägung begründen (zum sogenannten «qualifizierten Wiedererwägungsgesuch» vgl. etwa EMARK 2003 Nr. 17 E. 2.a m.w.H.).</w:t>
      </w:r>
    </w:p>
    <w:p>
      <w:r>
        <w:rPr>
          <w:b/>
        </w:rPr>
        <w:t>E. 4</w:t>
      </w:r>
    </w:p>
    <w:p>
      <w:r>
        <w:t>Die Vorinstanz stellt in der angefochtenen Verfügung fest, es würden keine Gründe vorliegen, welche die Rechtskraft der Verfügung vom 26. Oktober 2015 beseitigen könnten. Der Beschwerdeführer habe geltend gemacht, er sei minderjährig. Indes habe er das angeführte Alter nicht mit Identitätspapieren belegt. Mit der eingereichten Kopie der Taskara könne er die behauptete Minderjährigkeit nicht beweisen. Selbst das Original der Taskara gelte nicht als gesicherter Identitätsnachweis, zumal solche Dokumente leicht gefälscht werden könnten. Darüber hinaus habe der Beschwerdeführer widersprüchlich zu seinem Alter ausgesagt. Was die Überstellung nach Ungarn anbelange, sei der Zugang zum Asylverfahren gewährleistet und es sei nicht von einem unfairen Verfahren auszugehen.</w:t>
      </w:r>
    </w:p>
    <w:p>
      <w:r>
        <w:rPr>
          <w:b/>
        </w:rPr>
        <w:t>E. 5.1</w:t>
      </w:r>
    </w:p>
    <w:p>
      <w:r>
        <w:t>In der Rechtsmitteleingabe wird zunächst geltend gemacht, die Vor­instanz habe die eingereichte Original-Taskara in der angefochtenen Verfügung nicht erwähnt. Damit verletze sie die sich aus dem rechtlichen Gehör ergebende Begründungspflicht. Sodann habe der Beschwerdeführer mit der eingereichten Taskara die geltend gemachte Minderjährigkeit belegt.</w:t>
      </w:r>
    </w:p>
    <w:p>
      <w:r>
        <w:rPr>
          <w:b/>
        </w:rPr>
        <w:t>E. 5.2</w:t>
      </w:r>
    </w:p>
    <w:p>
      <w:r>
        <w:t>Gemäss konstanter Rechtsprechung muss der Entscheid so abgefasst sein, dass der Betroffene ihn sachgerecht anfechten kann. Es müssen die Überlegungen kurz genannt werden, von denen sich die Behörde leiten liess und auf die sie ihren Entscheid stützt (BVGE 2009/35 E. 6.4.1). Es trifft zu, dass die Vorinstanz die vom Beschwerdeführer am 30. November 2015 im Original nachgereichte Taskara in der angefochtenen Verfügung nicht erwähnt hat, was ein Versehen darstellt. Indes führt sie in den Erwägungen aus, bei der Taskara handle es sich um ein Dokument, welches leicht zu fälschen sei und somit selbst im Original nicht als gesicherter Identitätsnachweis gelte. Damit hat sich die Vorinstanz zwar nicht auf die konkrete Original-Taskara des Beschwerdeführers bezogen, indes klar und im Ergebnis zutreffend aufgezeigt, dass der Beschwerdeführer selbst beim Vorliegen des Originals im Hinblick auf die geltend gemachte Minderjährigkeit nichts zu seinen Gunsten abzuleiten vermöchte beziehungsweise vermag.</w:t>
      </w:r>
    </w:p>
    <w:p>
      <w:r>
        <w:rPr>
          <w:b/>
        </w:rPr>
        <w:t>E. 5.3</w:t>
      </w:r>
    </w:p>
    <w:p>
      <w:r>
        <w:t>In der Rechtsmitteleingabe hält der Beschwerdeführer weiter unter Hinweis auf die als neues Beweismittel eingereichte Taskara an der von ihm geltend gemachten Minderjährigkeit fest. Damit macht er nicht eine nachträglich veränderte Sachlage geltend, sondern reicht ein neu aufgefundenes Beweismittel zum Nachweis von im früheren Verfahren unbewiesen gebliebenen Tatsachen - vorliegend die behauptete Minderjährigkeit - ein. In der Verfügung vom 26. Oktober 2015 hat die Vorinstanz den Schluss auf Minderjährigkeit mit unvereinbaren Angaben des Beschwerdeführers zu seinem Alter, dem Ergebnis der Handknochenanalyse sowie dem Fehlen von Identitätspapieren begründet. Die Taskara bildet demnach nur eines unter mehreren Argumenten, aufgrund welcher der Schluss auf Volljährigkeit des Beschwerdeführers gezogen wurde. Gemäss konstanter Rechtsprechung verfügt die Taskara nicht über einen hohen Beweiswert, da sie in Afghanistan relativ leicht käuflich erwerbbar und einfach zu fälschen ist (vgl. Urteil des BVGer D-1755/2013 vom 18. April 2013 mit Verweis auf Urteil des BGer 1C_240/2012 vom 13. August 2012, E. 5.1). Die vom Beschwerdeführer als Beweismittel eingereichte Taskara ist nicht geeignet, den vor­instanzlichen Schluss auf Volljährigkeit des Beschwerdeführers in Frage zu ziehen. Damit erübrigt es sich, auf die weiteren Ausführungen in der Rechtsmitteleingabe betreffend Minderjährigkeit einzugehen. Zum nachgereichten Original ist zudem festzuhalten, dass die Rechtsvertreterin im Schreiben vom 30. November 2015 festgehalten hat, das Dokument sei dem Beschwerdeführer von seinem Onkel aus B._______ geschickt worden, wobei kein Nachweis für die Zustellung aus dem Ausland erbracht wird. Somit ist nicht belegt, dass es dem Beschwerdeführer nicht bereits früher möglich gewesen wäre, das Dokument einzureichen. Soweit sich der Beschwerdeführer in der Rechtsmitteleingabe auf die allgemeine Lage in Ungarn sowie die dort seit dem 1. August 2015 neu in Kraft gesetzten rechtlichen Bestimmungen beruft, legt er keine seit dem Ergehen der vorinstanzlichen Verfügung vom 26. Oktober 2015 veränderte Sachlage dar. Die diesbezüglichen Ausführungen beinhalten appellatorische Kritik an der Beweiswürdigung im ordentlichen Verfahren, was im Rahmen eines Wiedererwägungsverfahrens nicht zulässig ist. Denn ein Wiedererwägungsgesuch darf nicht dazu dienen, eine neue Würdigung der beim früheren Entscheid bereits bekannten Tatsachen herbeiführen zu versuchen oder Argumente anzuführen, die bereits in einem ordentlichen Beschwerdeverfahren gegen die frühere Verfügung hätten geltend gemacht werden können (vgl. Urteil des BVGer E-3271/2015 vom 22. Juni 2015 m.H.). Insoweit ist auf die entsprechenden Ausführungen nicht weiter einzugehen.</w:t>
      </w:r>
    </w:p>
    <w:p>
      <w:r>
        <w:rPr>
          <w:b/>
        </w:rPr>
        <w:t>E. 5.4</w:t>
      </w:r>
    </w:p>
    <w:p>
      <w:r>
        <w:t>Zusammenfassend ist festzuhalten, dass die Vorinstanz das Wiedererwägungsgesuch zu Recht abgewiesen hat.</w:t>
      </w:r>
    </w:p>
    <w:p>
      <w:r>
        <w:rPr>
          <w:b/>
        </w:rPr>
        <w:t>E. 6</w:t>
      </w:r>
    </w:p>
    <w:p>
      <w:r>
        <w:t>Aus diesen Erwägungen ergibt sich, dass die angefochtene Verfügung Bundesrecht nicht verletzt und auch sonst nicht zu beanstanden ist (Art. 106 AsylG). Die Beschwerde ist abzuweisen. Mit dem vorliegenden Urteil wird der Antrag auf Wiederherstellung der aufschiebenden Wirkung gegenstandslos.</w:t>
      </w:r>
    </w:p>
    <w:p>
      <w:r>
        <w:rPr>
          <w:b/>
        </w:rPr>
        <w:t>E. 7.1</w:t>
      </w:r>
    </w:p>
    <w:p>
      <w:r>
        <w:t>Die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nicht stattzugeben ist.</w:t>
      </w:r>
    </w:p>
    <w:p>
      <w:r>
        <w:rPr>
          <w:b/>
        </w:rPr>
        <w:t>E. 7.2</w:t>
      </w:r>
    </w:p>
    <w:p>
      <w:r>
        <w:t>Bei diesem Ausgang des Verfahrens sind die Kosten von Fr. 1'200.- (Art. 1 - 3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