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E-826/2019 vom 29. März 2021</w:t>
      </w:r>
    </w:p>
    <w:p>
      <w:r>
        <w:t>Bundesverwaltungsgericht, 2021-03-29, DE</w:t>
      </w:r>
    </w:p>
    <w:p>
      <w:r>
        <w:rPr>
          <w:b/>
        </w:rPr>
        <w:t xml:space="preserve">Quelle: </w:t>
      </w:r>
      <w:r>
        <w:t>https://mcp.opencaselaw.ch/entscheid/bvger_E-826_2019</w:t>
      </w:r>
    </w:p>
    <w:p>
      <w:r>
        <w:t>FR: TAF E-826/2019 du 29 mars 2021</w:t>
      </w:r>
    </w:p>
    <w:p>
      <w:r>
        <w:t>IT: TAF E-826/2019 del 29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begründete ihre Verfügung damit, die Vorbringen der Beschwerdeführerin zur behördlichen Suche nach ihr seien insgesamt unglaubhaft ausgefallen. Es habe in ihren Schilderungen hinsichtlich des Erhalts der Vorladungen zeitliche Unklarheiten und Widersprüche gegeben, welche Zweifel daran aufkommen liessen, dass sie das Geschilderte selbst erlebt hätte. Auf die Frage, wo sich diese Schreiben befinden würden, habe sie sehr ausweichende Angaben gemacht: Es sei nicht einfach, jemanden zu kontaktieren und sich diese aus Eritrea schicken zu lassen. Gleichzeitig habe sie die originalen Zertifikate zu ihrem Englisch- und Computerkurs aus Eritrea selbst angeboten, womit sich widersprüchliche Angaben zu den Möglichkeiten der Dokumentenbeschaffung ergeben würden. Weiter seien ihre Angaben zu den Ereignissen rund um den Erhalt der Vorladungen - sie sei jeweils zu Hause gewesen - auffallend kurz ausgefallen. Sie sei auf allgemeine Gedankengänge ausgewichen und habe angegeben, Angst gehabt zu haben. Sie habe keine genauen Angaben gemacht, um die Situation zu veranschaulichen. Ihren Antworten auf die Fragen nach den Reaktionen ihrer Geschwister und ihrer Mutter sei keine persönliche Beteiligung zu entnehmen. Vielmehr hätten sie erlernt oder spontan hinzugefügt gewirkt. Ähnlich seien ihre Antworten zu ihrem Schulverweis und dem Gespräch mit dem Schuldirektor und ihrer Mutter, bei dem sie persönlich anwesend gewesen sei, äusserst kurz ausgefallen. Ihre Angaben würden keine persönliche Betroffenheit aufweisen. Es sei ihr nicht gelungen, in detaillierter Art und Weise zu schildern, was sich wann und wie abgespielt habe, als sie die Schreiben erhalten habe, und inwiefern die Soldaten tatsächlich persönlich nach ihr gesucht hätten. Demgegenüber habe sie in Bezug auf ihre Ausreise ausführlich beschreiben können, wo sie hingegangen sei, wie sie an die verschiedenen Orte gelangt sei, was sie beobachtet habe und wie die Reise für sie persönlich verlaufen sei. Ihre Angaben zur Ausreise - ihre Beweggründe und Gedanken sowie die emotionalen und persönlichen Schwierigkeiten, die sie und ihr Bruder dabei erlebt hätten - seien auffallend detaillierter und persönlicher ausgefallen, als die Gründe, die zu ihrer Ausreise geführt hätten. Einzig ihre Flucht vor den Soldaten während einer Razzia weise persönlich erkennbare Elemente auf (zwei Zähne ausgeschlagen), welche jedoch isoliert von den davor angegebenen Ereignissen erscheinen würden. Es sei deshalb nicht auszuschliessen, dass sie eine solche Situation erlebt habe, was aber nicht genüge, um den Gesamteindruck umzustossen, dass sich die geltend gemachten Ereignisse nicht so zugetragen hätten, wie von ihr vorgetragen. Die Verfolgung durch die Behörden habe sie nicht in gleich präziser und ausführlicher Art zu Protokoll gegeben. Ferner sei ihre Antwort auf die Frage nach der Situation, als ihr Vater in den Militärdienst eingezogen worden sei, äusserst knapp und oberflächlich ausgefallen. Im Weiteren wies die Vorinstanz auf das Koordinationsurteil des Bundesverwaltungsgerichts D-7898/2015 vom 30. Januar 2017 hin, gemäss dem nicht mit überwiegender Wahrscheinlichkeit davon auszugehen sei, dass sich eritreische Staatsangehörige aufgrund einer illegalen Ausreise mit Sanktionen ihres Heimatstaates konfrontiert sehen würden, die asylrechtlich relevant wären. Weiter hielt sie fest, es seien vorliegend auch keine Anknüpfungspunkte ersichtlich, welche sie (die Beschwerdeführerin) in den Augen des eritreischen Regimes als missliebige Person erscheinen lassen könnten, zumal ihre diesbezüglichen Vorbringen unglaubhaft ausgefallen seien. Schliesslich habe die Beschwerdeführerin keine Probleme wegen ihres Vaters oder ihrer Geschwister F._______ und C._______ geltend gemacht. Sowohl F._______ als auch C._______ hätten ihre Ausreisegründe (Desertion beziehungsweise Refraktion) in ihren Asylverfahren in der Schweiz nicht glaubhaft machen können. Damit würden keine Hinweise auf zukünftige asylbeachtliche Nachteile (Reflexverfolgung) bei einer Rückkehr nach Eritrea bestehen.</w:t>
      </w:r>
    </w:p>
    <w:p>
      <w:r>
        <w:rPr>
          <w:b/>
        </w:rPr>
        <w:t>E. 4.2</w:t>
      </w:r>
    </w:p>
    <w:p>
      <w:r>
        <w:t>Die Beschwerdeführerin machte in ihrer Rechtsmitteleingabe demgegenüber geltend, zwar bestehe in ihren Aussagen zum Zeitpunkt des Erhalts der Vorladungen ein Widerspruch zu einem Kernelement des Asylgesuchs. Sie sei in der BzP sehr aufgeregt gewesen und habe die falsche Protokollierung entweder übersehen oder diese sei ihr falsch übersetzt worden. Auch könne ein Fehler bei der Protokollierung nicht ausgeschlossen werden, weshalb die Widersprüche alleine nicht gegen die Glaubhaftigkeit ihrer Aussagen sprechen würden. Ihre zeitlichen Unsicherheiten seien auf ihr Alter zurückzuführen. Zudem müsse davon ausgegangen werden, dass sie in der BzP ihre Aussagen unter Druck gemacht habe. Im Weiteren würden Personen mit posttraumatischen Belastungsstörungen, was bei vielen Asylsuchenden der Fall sei, oft unter Gedächtnisstörungen leiden. Gleichzeitig reichte die Beschwerdeführerin eine Kopie der Vorladung vom (...) 2015 zu den Akten. Diese stehe im Einklang mit ihren Aussagen, wonach sie zirka 15 Tage nach Erhalt des ersten Schreibens bei ihr eingetroffen sei. Sie hätte sich bis zum (...) 2015 bei der militärischen Verwaltung melden müssen. Ihre Schilderungen zum Erhalt und zum Inhalt der Vorladung würden sich zudem mit dem Themenpapier der Schweizerischen Flüchtlingshilfe (SFH) vom 30. Juli 2017 decken. Im Übrigen erachte die Rechtsvertreterin die Ausführungen der Beschwerdeführerin im Gegensatz zur Vorinstanz als detailliert. Die Beschwerdeführerin gelte damit als Wehrdienstverweigerin und Landesverräterin. Die Bestrafung wegen Dienstverweigerung und Desertion in Eritrea sei unverhältnismässig streng und sei politisch motiviert. Schliesslich seien in ihrem Fall die von der Rechtsprechung bei illegaler Ausreise zur Begründung der Flüchtlingseigenschaft geforderten zusätzlichen Anknüpfungspunkte vorhanden (behördlicher Kontakt, illegale Ausreise der Brüder F._______ und C._______). Damit wäre sie im Falle einer Rückkehr nach Eritrea einer flüchtlingsrechtlich relevanten Verfolgung ausgesetzt. Im Laufe des Beschwerdeverfahrens wurde das Original der Vorladung vom (...) 2015 samt deutscher Übersetzung sowie Unterlagen betreffend die überbringende Person eingereicht.</w:t>
      </w:r>
    </w:p>
    <w:p>
      <w:r>
        <w:rPr>
          <w:b/>
        </w:rPr>
        <w:t>E. 4.3</w:t>
      </w:r>
    </w:p>
    <w:p>
      <w:r>
        <w:t>Die Vorinstanz hielt in ihrer Vernehmlassung an ihrem Standpunkt fest. Dabei führte sie aus, der Beweiswert des eingereichten Originals sei mangels Sicherheitsmerkmale gering. Dieses vermöge die Einschätzungen zur Glaubhaftigkeit ihrer Angaben nicht umzustossen.</w:t>
      </w:r>
    </w:p>
    <w:p>
      <w:r>
        <w:rPr>
          <w:b/>
        </w:rPr>
        <w:t>E. 4.4</w:t>
      </w:r>
    </w:p>
    <w:p>
      <w:r>
        <w:t>Die Beschwerdeführerin führte in ihrer Replik dazu aus, die eingereichte Vorladung sei von erheblicher Bedeutung. Auch wenn sie keine Sicherheitsmerkmale aufweise und ihre Echtheit damit nicht abschliessend überprüfbar sei, genüge dies nicht, um ihr jegliche Beweiskraft abzusprechen. Es seien allenfalls eine Expertise oder verlässliche Quellen beizuziehen. Im Übrigen sei die Praxis des Einzugs in den Militärdienst durch die eritreischen Behörden uneinheitlich und derartige handgeschriebene Briefe möglich.</w:t>
      </w:r>
    </w:p>
    <w:p>
      <w:r>
        <w:rPr>
          <w:b/>
        </w:rPr>
        <w:t>E. 5.1</w:t>
      </w:r>
    </w:p>
    <w:p>
      <w:r>
        <w:t>Das Bundesverwaltungsgericht gelangt nach Prüfung der Akten zum Schluss, dass die Vorinstanz das Asylgesuch der Beschwerdeführerin zu Recht abgelehnt hat. Die Vorinstanz ist in ihren Erwägungen zur zutreffenden Erkenntnis gelangt, dass die Verfolgungsvorbringen der Beschwerdeführerin weder den Anforderungen an die Glaubhaftmachung noch denjenigen an die Asylrelevanz genügen. Die Ausführungen auf Beschwerdeebene und die dabei gemachten Hinweise auf verschiedene Berichte sind nicht geeignet, zu einer anderen Schlussfolgerung zu führen.</w:t>
      </w:r>
    </w:p>
    <w:p>
      <w:r>
        <w:rPr>
          <w:b/>
        </w:rPr>
        <w:t>E. 5.2</w:t>
      </w:r>
    </w:p>
    <w:p>
      <w:r>
        <w:t>Die Beschwerdeführerin vermag den Erwägungen der Vorinstanz nichts Substanzielles entgegenzusetzen. Insbesondere überzeugen die verschiedenen Erklärungsversuche hinsichtlich der Umstände anlässlich der BzP (Alter, Stress, Druck, falsche Protokollierung nicht ausgeschlossen, PTBS bei Asylsuchenden) zum Entstehen des Widerspruchs betreffend den Zeitpunkt, in dem sie zwei Vorladungen erhalten habe, nicht. Die Beschwerdeführerin war bei der zur Diskussion stehenden BzP als damals (...)-Jährige in Begleitung einer Rechtsvertretung, welche sich während und nach der Befragung nie geäussert hat. Zudem verfügt sie über eine gute Schulbildung mit Zusatzausbildung (vgl. eingereichte Zertifikate von Kursen einer Akademie). Es besteht auch nicht der Eindruck, dass sie Mühe gehabt hätte, zeitliche Angaben machen zu können. Sie gab auf weitere Fragen nach Daten ohne weiteres solche an oder wies darauf hin, dass sie sich nicht erinnern könne. Zwar machte sie geltend, sie erinnere sich nicht an den genauen Tag, an dem sie die Schreiben erhalten habe (vgl. Akte A9 S. 4 ff.), gab jedoch an, dies sei im Oktober 2015 gewesen. Auch wenn sie - übereinstimmend zur späteren Anhörung - angegeben hatte, die zweite Vorladung zwei Wochen nach der ersten erhalten zu haben, wäre von ihr zu erwarten gewesen, dass sie an der Anhörung dieselben Zeitangaben gemacht hätte. An dieser gab sie indes zuerst an, beide im elften Monat erhalten zu haben (A21 F53), was wiederum mit der nun eingereichten (zweiten) Vorladung vom (...) 2015 nicht übereinstimmt. Ferner kann den Akten nicht entnommen werden, dass sie sich in einem schlechten psychischen Zustand befunden hätte, der eine mögliche Erklärung für allfällige Ungenauigkeiten hätte sein können. Vielmehr gab sie sowohl in der BzP als auch anlässlich der Anhörung an, dass sie gesund sei (A9 S. 8; A21 F4). Daher muss sie sich auf ihren Aussagen behaften lassen. Indes kann schliesslich offenbleiben, ob es sich bei den unterschiedlichen Zeitangaben um einen krassen Widerspruch handelt, stützen sich die Zweifel, ob die Beschwerdeführerin Vorladungen erhalten hat, doch nicht alleine darauf.</w:t>
      </w:r>
    </w:p>
    <w:p>
      <w:r>
        <w:rPr>
          <w:b/>
        </w:rPr>
        <w:t>E. 5.3</w:t>
      </w:r>
    </w:p>
    <w:p>
      <w:r>
        <w:t>Die Beschwerdeführerin reichte auf Beschwerdeebene das Original samt Übersetzung der angeblich zweiten behördlichen Vorladung ein. Wie von der Vorinstanz in ihrer Vernehmlassung zu Recht ausgeführt, kommt diesem aufgrund fehlender Sicherheitsmerkmale nur ein geringer Beweiswert zu. Vorliegend fällt insbesondere auf, dass der Inhalt des Schreibens nicht mit den Angaben der Beschwerdeführerin übereinstimmt. So soll gemäss diesen bei der BzP und der Anhörung in beiden Schreiben gestanden haben, dass sie, "weil sie die Schule abgebrochen habe, in den Militärdienst eingezogen werde" (A9 S. 7, A21 F59 ff.). Im nun eingereichten Schreiben vom (...) 2015 steht indes ganz allgemein und unpräzise sowie in gewichtigem Widerspruch zu den Aussagen der Beschwerdeführerin, dass sie "wegen einer wichtigen Angelegenheit" gesucht werde. Zudem steht darin, sie habe am (...) 2015 um 8 Uhr morgens zu erscheinen. Demgegenüber machte die Beschwerdeführerin anlässlich der Anhörung geltend, sie hätte nach Erhalt des zweiten Schreibens zwei, höchstens drei Tage Zeit gehabt, um zu erscheinen (A21 F74). Dies entspricht wiederum nicht dem Inhalt des eingereichten Schreibens, wo ein genaues Datum (der [...]) steht, was jedoch sechs Tage nach Erhalt gewesen wäre. Insgesamt erweist sich das eingereichte Beweismittel nicht als tauglich, um die bestehenden Zweifel zu entkräften.</w:t>
      </w:r>
    </w:p>
    <w:p>
      <w:r>
        <w:rPr>
          <w:b/>
        </w:rPr>
        <w:t>E. 5.4</w:t>
      </w:r>
    </w:p>
    <w:p>
      <w:r>
        <w:t>Darüber weisen mehrere Aussagen - die Überbringung der Vorladung und deren Folgegeschehnisse sowie die Schilderung des Einzugs ihres Vaters - keine Details auf und lassen eine persönliche Betroffenheit vermissen. Auch wird auf Beschwerdeebene nicht aufgeführt, inwiefern die Angaben der Beschwerdeführerin Details aufweisen sollen. Schliesslich fällt auf, dass im Vergleich dazu die Beschreibung der illegalen Ausreise viel lebhafter und detaillierter ausgefallen ist (A21 F96 ff.), weshalb darauf geschlossen werden kann, dass sie selbst Erlebtes durchaus in einem persönlich geprägten Erzählstil zu schildern vermag.</w:t>
      </w:r>
    </w:p>
    <w:p>
      <w:r>
        <w:rPr>
          <w:b/>
        </w:rPr>
        <w:t>E. 5.5</w:t>
      </w:r>
    </w:p>
    <w:p>
      <w:r>
        <w:t>Demnach vermochte die Beschwerdeführerin keine Argumente vorzubringen, die einen anderen Schluss als den von der Vorinstanz aufgeführten zuliessen. Diese hat die geltend gemachte Einberufung zum Militärdienst zu Recht als unglaubhaft erachtet. Folglich bestehen keine konkreten Anhaltspunkte dafür, dass die Beschwerdeführerin seitens der eritreischen Behörden als Dienstverweigerin angesehen wird. Damit gelingt es ihr nicht, eine asylrechtlich relevante Verfolgung zum Zeitpunkt ihrer Ausreise aus Eritrea glaubhaft zu machen.</w:t>
      </w:r>
    </w:p>
    <w:p>
      <w:r>
        <w:rPr>
          <w:b/>
        </w:rPr>
        <w:t>E. 5.6.1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asylrechtlich 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5.6.2</w:t>
      </w:r>
    </w:p>
    <w:p>
      <w:r>
        <w:t>Da es der Beschwerdeführerin nicht gelungen ist, die angebliche Einberufung in den Militärdienst glaubhaft zu machen, bestehen keine Hinweise darauf, dass - neben der geltend gemachten illegalen Ausreise - zusätzliche Anknüpfungspunkte existieren, welche sie in den Augen der eritreischen Behörden als missliebige Person erscheinen lassen würden. Auch der Hinweis auf ihre Brüder F._______ und C._______ stellt keinen solchen Anknüpfungspunkt dar, zumal deren Asylgesuche in der Schweiz ebenfalls wegen fehlender Glaubhaftigkeit ihrer Vorbringen abgewiesen worden sind. Im Lichte der neueren Rechtsprechung des Bundesverwaltungsgerichts erfüllt die Beschwerdeführerin - ungeachtet der Frage der Glaubhaftigkeit der illegalen Ausreise - die Flüchtlingseigenschaft deshalb auch unter diesem Gesichtspunkt nicht.</w:t>
      </w:r>
    </w:p>
    <w:p>
      <w:r>
        <w:rPr>
          <w:b/>
        </w:rPr>
        <w:t>E. 5.7</w:t>
      </w:r>
    </w:p>
    <w:p>
      <w:r>
        <w:t>Zusammengefasst lehnte das SEM das Asylgesuch der Beschwerdeführerin zurecht ab.</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Beschwerdeführerin macht geltend, der Wegweisungsvollzug sei angesichts des ihr drohenden Einzugs in den eritreischen Nationaldienst und der damit verbundenen Verletzung von Art. 3 und Art. 4 Abs. 2 EMRK als unzulässig zu bezeichnen. Gleichzeitig wird die im Grundsatzurteil des Bundesverwaltungsgerichts in BVGE 2018 VI/4 erfolgte Praxisverschärfung kritisiert. Sie habe glaubhaft dargelegt, als Minderjährige zum Nationaldienst aufgeboten worden zu sein und demnach als Dienstpflichtige Eritrea illegal verlassen zu haben. Es sei wahrscheinlich, dass sie im Falle einer Rückkehr auf unbestimmte Zeit Militärdienst leisten müsste.</w:t>
      </w:r>
    </w:p>
    <w:p>
      <w:r>
        <w:rPr>
          <w:b/>
        </w:rPr>
        <w:t>E. 7.2.3</w:t>
      </w:r>
    </w:p>
    <w:p>
      <w:r>
        <w:t>Die Frage der Zulässigkeit des Wegweisungsvollzugs bei anstehender Einziehung in den eritreischen Nationaldienst ist vom Bundesverwaltungsgericht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Aus den Akten ergeben sich keine weiteren Gründe für die Annahme der Unzulässigkeit des Wegweisungsvollzugs.</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7.3.2</w:t>
      </w:r>
    </w:p>
    <w:p>
      <w:r>
        <w:t>Die drohende Einziehung in den eritreischen Nationaldienst führt mangels einer hinreichend konkreten Gefährdung nicht generell zur Feststellung der Unzumutbarkeit des Wegweisungsvollzugs gemäss Art. 83 Abs. 4 AIG (vgl. BVGE 2018 VI/4).</w:t>
      </w:r>
    </w:p>
    <w:p>
      <w:r>
        <w:rPr>
          <w:b/>
        </w:rPr>
        <w:t>E. 7.3.3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rPr>
          <w:b/>
        </w:rPr>
        <w:t>E. 7.3.4</w:t>
      </w:r>
    </w:p>
    <w:p>
      <w:r>
        <w:t>Im vorliegenden Einzelfall handelt es sich um eine junge alleinstehende Frau. Sie verfügt ihren Angaben zufolge über eine zehnjährige Schuldbildung sowie eine Zusatzausbildung (Zertifikate aus Computer- und Englischkurs). Mit ihren Eltern und Geschwistern kann sie auf ein Beziehungsnetz zurückgreifen. Ihre Familie hat zudem einen (...). Weiter wohnt in G._______ ein Onkel, der ihre Ausreise finanziert haben soll, und in der Schweiz lebt ihr Bruder F._______, der über eine Aufenthaltsbewilligung verfügt. Diesen kann sie bei Bedarf um finanzielle Unterstützung bitten. Ausserdem ist auch das Asylgesuch ihres Bruders C._______, mit dem sie ausgereist ist, abgewiesen worden. Es steht ihr offen, allenfalls mit ihm zusammen nach Eritrea zurückzukehren. Selbst wenn sie nach der längeren Landesabwesenheit bei einer allfälligen Rückkehr nach Eritrea in einer ersten Zeit auf gewisse Anfangsschwierigkeiten stossen sollte, ist insgesamt davon auszugehen, dass sie durch ihre Verwandten Unterstützung erhalten wird, so dass sie dort eine wirtschaftliche Existenz wird aufbauen können. Schliesslich sprechen auch die auf Beschwerdeebene geltend psychischen Probleme der Beschwerdeführerin, deren Ursache in der Perspektivlosigkeit als Asylsuchende liege, nicht gegen die Zumutbarkeit des Wegweisungsvollzugs, auch wenn durchaus nachvollziehbar ist, dass die geltend gemachte fehlende Möglichkeit, sich in der Schweiz beruflich entwickeln zu können und die Ungewissheit über den Ausgang ihres Asylverfahrens zu einer psychischen Belastung geführt haben. Auch vermögen die geltend gemachte Aufenthaltsdauer in der Schweiz und die damit verbundene Integration zu keiner anderen Schlussfolgerung zu führen. Der Grad der Integration bildet grundsätzlich kein Kriterium für die Beurteilung der Zumutbarkeit des Wegweisungsvollzugs im Sinne von Art. 83 Abs. 4 AIG (vgl. BVGE 2009/52 E. 10.3 m.w.H.). Die Beurteilung einer Härtefallsituation infolge fortgeschrittener Integration gemäss Art. 14 Abs. 2 Bst. c AsylG fällt in die Zuständigkeit der kantonalen Migrationsbehörden (BVGE a.a.O.). Auf die entsprechenden Ausführungen in der ergänzenden Eingabe vom 13. März 2021 ist daher nicht weiter einzugehen. Nach dem Gesagten erweist sich der Vollzug der Wegweisung auch als zumutbar.</w:t>
      </w:r>
    </w:p>
    <w:p>
      <w:r>
        <w:rPr>
          <w:b/>
        </w:rPr>
        <w:t>E. 7.4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Beschwerdeführerin zu einer Corona-Risikogruppe Rechnung zu tragen sein.</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jedoch mit Verfügung vom 25. Februar 2019 die unentgeltliche Prozessführung gewährt wurde und seither keine Veränderung der finanziellen Lage ersichtlich ist, ist (weiterhin) auf die Erhebung von Verfahrenskosten zu verzichten.</w:t>
      </w:r>
    </w:p>
    <w:p>
      <w:r>
        <w:rPr>
          <w:b/>
        </w:rPr>
        <w:t>E. 9.2</w:t>
      </w:r>
    </w:p>
    <w:p>
      <w:r>
        <w:t>Ebenfalls mit Verfügung vom 25. Februar 2019 wurde das Gesuch um amtliche Verbeiständung gutgeheissen (aArt. 110a Abs. 1 AsylG) und der Beschwerdeführerin Dr. iur. Sonia Lopez Hormigo, Caritas Schweiz, als amtliche Rechtsbeiständin beigeordnet. Mit Replik vom 23. April 2019 legte diese eine (aktualisierte) Liste ihrer Aufwendungen ins Recht, welche sich auf 550 Minuten belaufen. Am 26. November 2019 wurde Dr. iur. Sonia Lopez Hormigo auf Antrag aus dem amtlichen Mandat entlassen und Isabelle Müller, Caritas Schweiz, neu eingesetzt. Aufgrund der Aktenlage und mangels anderweitiger Indizien ist davon auszugehen, dass Dr. iur. Sonia Lopez Hormigo ihren Honoraranspruch an Caritas Schweiz abgetreten hat. Die aktuell mandatierte Rechtsbeiständin wurde im vorliegenden Verfahren - ausser einer Verfahrensstandanfrage, welche nicht zu entschädigen ist - nicht aktiv.</w:t>
      </w:r>
    </w:p>
    <w:p>
      <w:r>
        <w:rPr>
          <w:b/>
        </w:rPr>
        <w:t>E. 10</w:t>
      </w:r>
    </w:p>
    <w:p>
      <w:r>
        <w:t>Der von der seinerzeitigen amtlichen Rechtsbeiständin ausgewiesene Aufwand ist nicht vollumfänglich zu entschädigen. Unter Berücksichtigung der massgeblichen Bemessungsfaktoren (Art. 9 ff. VGKE) und der Praxis in Vergleichsfällen, ist der aufgeführte Zeitaufwand von 550 Minuten auf acht Stunden zu reduzieren, wobei für die nicht-anwaltliche Vertretung von einem Stundenansatz von Fr. 150.- (vgl. Verfügung vom 25. Februar 2019) auszugehen ist. Es ist demnach ein amtliches Honorar von Fr. 1'200.-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